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0" w:before="0"/>
        <w:jc w:val="center"/>
      </w:pPr>
      <w:r>
        <w:rPr>
          <w:rFonts w:ascii="Calibri" w:cs="Calibri" w:eastAsia="Calibri" w:hAnsi="Calibri"/>
          <w:b/>
          <w:bCs/>
          <w:caps/>
          <w:sz w:val="28"/>
          <w:szCs w:val="28"/>
        </w:rPr>
        <w:t xml:space="preserve">LANDGERICHT HAMBURG</w:t>
      </w:r>
    </w:p>
    <w:p>
      <w:pPr>
        <w:spacing w:after="80" w:before="0"/>
        <w:jc w:val="center"/>
      </w:pPr>
      <w:r>
        <w:rPr>
          <w:rFonts w:ascii="Calibri" w:cs="Calibri" w:eastAsia="Calibri" w:hAnsi="Calibri"/>
          <w:sz w:val="22"/>
          <w:szCs w:val="22"/>
        </w:rPr>
        <w:t xml:space="preserve">KI-Kammer — Aktenzeichen: 308 O 79/26</w:t>
      </w:r>
    </w:p>
    <w:p>
      <w:pPr>
        <w:pBdr>
          <w:bottom w:val="single" w:color="auto" w:sz="6"/>
        </w:pBdr>
        <w:spacing w:after="200" w:before="200"/>
      </w:pPr>
    </w:p>
    <w:p>
      <w:pPr>
        <w:pStyle w:val="Heading1"/>
        <w:spacing w:after="140" w:before="280"/>
      </w:pPr>
      <w:r>
        <w:rPr>
          <w:rFonts w:ascii="Calibri" w:cs="Calibri" w:eastAsia="Calibri" w:hAnsi="Calibri"/>
          <w:b/>
          <w:bCs/>
        </w:rPr>
        <w:t xml:space="preserve">KLAGESCHRIFT</w:t>
      </w:r>
    </w:p>
    <w:p>
      <w:pPr>
        <w:pBdr>
          <w:bottom w:val="single" w:color="auto" w:sz="6"/>
        </w:pBdr>
        <w:spacing w:after="200" w:before="200"/>
      </w:pPr>
    </w:p>
    <w:p>
      <w:pPr>
        <w:spacing w:after="100" w:before="100"/>
        <w:jc w:val="left"/>
      </w:pPr>
      <w:r>
        <w:rPr>
          <w:rFonts w:ascii="Calibri" w:cs="Calibri" w:eastAsia="Calibri" w:hAnsi="Calibri"/>
          <w:b/>
          <w:bCs/>
          <w:sz w:val="22"/>
          <w:szCs w:val="22"/>
        </w:rPr>
        <w:t xml:space="preserve">der Mira Windgassen, Frickestraße 29, 20251 Hamburg,</w:t>
      </w:r>
    </w:p>
    <w:p>
      <w:pPr>
        <w:spacing w:after="100" w:before="100"/>
        <w:jc w:val="left"/>
      </w:pPr>
      <w:r>
        <w:rPr>
          <w:rFonts w:ascii="Calibri" w:cs="Calibri" w:eastAsia="Calibri" w:hAnsi="Calibri"/>
          <w:sz w:val="22"/>
          <w:szCs w:val="22"/>
        </w:rPr>
        <w:t xml:space="preserve">Inhaberin des Windgassen Photo Atelier,</w:t>
      </w:r>
    </w:p>
    <w:p>
      <w:pPr>
        <w:spacing w:after="100" w:before="100"/>
        <w:jc w:val="left"/>
      </w:pPr>
      <w:r>
        <w:rPr>
          <w:rFonts w:ascii="Calibri" w:cs="Calibri" w:eastAsia="Calibri" w:hAnsi="Calibri"/>
          <w:sz w:val="22"/>
          <w:szCs w:val="22"/>
        </w:rPr>
        <w:t xml:space="preserve">— Klägerin —</w:t>
      </w:r>
    </w:p>
    <w:p>
      <w:pPr>
        <w:spacing w:after="100" w:before="100"/>
      </w:pPr>
    </w:p>
    <w:p>
      <w:pPr>
        <w:spacing w:after="100" w:before="100"/>
        <w:jc w:val="left"/>
      </w:pPr>
      <w:r>
        <w:rPr>
          <w:rFonts w:ascii="Calibri" w:cs="Calibri" w:eastAsia="Calibri" w:hAnsi="Calibri"/>
          <w:sz w:val="22"/>
          <w:szCs w:val="22"/>
        </w:rPr>
        <w:t xml:space="preserve">Prozessbevollmächtigte: Dr. Antonia Kreidler-Bremer, Kanzlei Kreidler-Bremer Medienrecht,</w:t>
      </w:r>
    </w:p>
    <w:p>
      <w:pPr>
        <w:spacing w:after="100" w:before="100"/>
        <w:jc w:val="left"/>
      </w:pPr>
      <w:r>
        <w:rPr>
          <w:rFonts w:ascii="Calibri" w:cs="Calibri" w:eastAsia="Calibri" w:hAnsi="Calibri"/>
          <w:sz w:val="22"/>
          <w:szCs w:val="22"/>
        </w:rPr>
        <w:t xml:space="preserve">Mittelweg 147, 20148 Hamburg</w:t>
      </w:r>
    </w:p>
    <w:p>
      <w:pPr>
        <w:spacing w:after="200" w:before="200"/>
      </w:pPr>
    </w:p>
    <w:p>
      <w:pPr>
        <w:spacing w:after="100" w:before="100"/>
        <w:jc w:val="left"/>
      </w:pPr>
      <w:r>
        <w:rPr>
          <w:rFonts w:ascii="Calibri" w:cs="Calibri" w:eastAsia="Calibri" w:hAnsi="Calibri"/>
          <w:sz w:val="22"/>
          <w:szCs w:val="22"/>
        </w:rPr>
        <w:t xml:space="preserve">gegen</w:t>
      </w:r>
    </w:p>
    <w:p>
      <w:pPr>
        <w:spacing w:after="200" w:before="200"/>
      </w:pPr>
    </w:p>
    <w:p>
      <w:pPr>
        <w:spacing w:after="100" w:before="100"/>
        <w:jc w:val="left"/>
      </w:pPr>
      <w:r>
        <w:rPr>
          <w:rFonts w:ascii="Calibri" w:cs="Calibri" w:eastAsia="Calibri" w:hAnsi="Calibri"/>
          <w:b/>
          <w:bCs/>
          <w:sz w:val="22"/>
          <w:szCs w:val="22"/>
        </w:rPr>
        <w:t xml:space="preserve">ImagineArt Inc., 3490 Mission Street, Suite 200, San Francisco, CA 94110, USA,</w:t>
      </w:r>
    </w:p>
    <w:p>
      <w:pPr>
        <w:spacing w:after="100" w:before="100"/>
        <w:jc w:val="left"/>
      </w:pPr>
      <w:r>
        <w:rPr>
          <w:rFonts w:ascii="Calibri" w:cs="Calibri" w:eastAsia="Calibri" w:hAnsi="Calibri"/>
          <w:sz w:val="22"/>
          <w:szCs w:val="22"/>
        </w:rPr>
        <w:t xml:space="preserve">— Beklagte —</w:t>
      </w:r>
    </w:p>
    <w:p>
      <w:pPr>
        <w:pBdr>
          <w:bottom w:val="single" w:color="auto" w:sz="6"/>
        </w:pBdr>
        <w:spacing w:after="200" w:before="200"/>
      </w:pPr>
    </w:p>
    <w:p>
      <w:pPr>
        <w:pStyle w:val="Heading2"/>
        <w:spacing w:after="140" w:before="280"/>
      </w:pPr>
      <w:r>
        <w:rPr>
          <w:rFonts w:ascii="Calibri" w:cs="Calibri" w:eastAsia="Calibri" w:hAnsi="Calibri"/>
          <w:b/>
          <w:bCs/>
        </w:rPr>
        <w:t xml:space="preserve">KLAGEANTRÄGE</w:t>
      </w:r>
    </w:p>
    <w:p>
      <w:pPr>
        <w:spacing w:after="100" w:before="100"/>
        <w:jc w:val="left"/>
      </w:pPr>
      <w:r>
        <w:rPr>
          <w:rFonts w:ascii="Calibri" w:cs="Calibri" w:eastAsia="Calibri" w:hAnsi="Calibri"/>
          <w:sz w:val="22"/>
          <w:szCs w:val="22"/>
        </w:rPr>
        <w:t xml:space="preserve">Die Klägerin beantragt:</w:t>
      </w:r>
    </w:p>
    <w:p>
      <w:pPr>
        <w:spacing w:after="160" w:before="160"/>
        <w:ind w:left="720"/>
      </w:pPr>
      <w:r>
        <w:rPr>
          <w:rFonts w:ascii="Calibri" w:cs="Calibri" w:eastAsia="Calibri" w:hAnsi="Calibri"/>
          <w:sz w:val="22"/>
          <w:szCs w:val="22"/>
        </w:rPr>
        <w:t xml:space="preserve">1. UNTERLASSUNG: Die Beklagte wird verurteilt, es zu unterlassen, die in Anlage K-1 aufgeführten 161 Lichtbildwerke der Klägerin (Werke von Mira Windgassen, insbesondere aus der Serie „Tristesse am Bodden" sowie weitere auf windgassen-photo.de veröffentlichte Werke) für das Training, Feintraining oder sonstige Optimierung ihrer KI-Bildgeneratoren zu verwenden oder verwenden zu lassen — bei Meidung eines für jeden Fall der Zuwiderhandlung festzusetzenden Ordnungsgeldes bis zu 250.000 EUR, ersatzweise Ordnungshaft bis zu sechs Monaten.</w:t>
      </w:r>
    </w:p>
    <w:p>
      <w:pPr>
        <w:spacing w:after="160" w:before="160"/>
        <w:ind w:left="720"/>
      </w:pPr>
      <w:r>
        <w:rPr>
          <w:rFonts w:ascii="Calibri" w:cs="Calibri" w:eastAsia="Calibri" w:hAnsi="Calibri"/>
          <w:sz w:val="22"/>
          <w:szCs w:val="22"/>
        </w:rPr>
        <w:t xml:space="preserve">2. FESTSTELLUNG: Es wird festgestellt, dass die Beklagte verpflichtet ist, der Klägerin sämtlichen Schaden zu ersetzen, der durch die unberechtigte Nutzung der Lichtbildwerke der Klägerin für KI-Trainingszwecke entstanden ist und noch entstehen wird.</w:t>
      </w:r>
    </w:p>
    <w:p>
      <w:pPr>
        <w:spacing w:after="160" w:before="160"/>
        <w:ind w:left="720"/>
      </w:pPr>
      <w:r>
        <w:rPr>
          <w:rFonts w:ascii="Calibri" w:cs="Calibri" w:eastAsia="Calibri" w:hAnsi="Calibri"/>
          <w:sz w:val="22"/>
          <w:szCs w:val="22"/>
        </w:rPr>
        <w:t xml:space="preserve">3. AUSKUNFT: Die Beklagte wird verurteilt, der Klägerin Auskunft zu erteilen über: (a) genaue Anzahl und Identität der für KI-Training genutzten Lichtbildwerke der Klägerin; (b) Datensätze und Zeiträume der Nutzung; (c) Gesamtumsätze mit dem auf diesen Daten trainierten Modell.</w:t>
      </w:r>
    </w:p>
    <w:p>
      <w:pPr>
        <w:pBdr>
          <w:bottom w:val="single" w:color="auto" w:sz="6"/>
        </w:pBdr>
        <w:spacing w:after="200" w:before="200"/>
      </w:pPr>
    </w:p>
    <w:p>
      <w:pPr>
        <w:pStyle w:val="Heading2"/>
        <w:spacing w:after="140" w:before="280"/>
      </w:pPr>
      <w:r>
        <w:rPr>
          <w:rFonts w:ascii="Calibri" w:cs="Calibri" w:eastAsia="Calibri" w:hAnsi="Calibri"/>
          <w:b/>
          <w:bCs/>
        </w:rPr>
        <w:t xml:space="preserve">I. SACHVERHALT</w:t>
      </w:r>
    </w:p>
    <w:p>
      <w:pPr>
        <w:spacing w:after="100" w:before="100"/>
        <w:jc w:val="left"/>
      </w:pPr>
      <w:r>
        <w:rPr>
          <w:rFonts w:ascii="Calibri" w:cs="Calibri" w:eastAsia="Calibri" w:hAnsi="Calibri"/>
          <w:sz w:val="22"/>
          <w:szCs w:val="22"/>
        </w:rPr>
        <w:t xml:space="preserve">A. Zur Person der Klägerin</w:t>
      </w:r>
    </w:p>
    <w:p>
      <w:pPr>
        <w:spacing w:after="100" w:before="100"/>
        <w:jc w:val="left"/>
      </w:pPr>
      <w:r>
        <w:rPr>
          <w:rFonts w:ascii="Calibri" w:cs="Calibri" w:eastAsia="Calibri" w:hAnsi="Calibri"/>
          <w:sz w:val="22"/>
          <w:szCs w:val="22"/>
        </w:rPr>
        <w:t xml:space="preserve">Die Klägerin ist freischaffende Fotografin mit Spezialisierung auf Reportage- und Editorialfotografie. Sie publiziert regelmäßig in namhaften deutschen Printmedien (GEO, Mare, Brigitte, Zeit-Magazin) und betreibt unter windgassen-photo.de eine eigene Bildagentur mit ca. 18.400 Fotografien. Die Klägerin ist Mitglied der VG Bild-Kunst (Gruppe II, Mitgliedsnr. 142.907).</w:t>
      </w:r>
    </w:p>
    <w:p>
      <w:pPr>
        <w:spacing w:after="100" w:before="100"/>
      </w:pPr>
    </w:p>
    <w:p>
      <w:pPr>
        <w:spacing w:after="100" w:before="100"/>
        <w:jc w:val="left"/>
      </w:pPr>
      <w:r>
        <w:rPr>
          <w:rFonts w:ascii="Calibri" w:cs="Calibri" w:eastAsia="Calibri" w:hAnsi="Calibri"/>
          <w:sz w:val="22"/>
          <w:szCs w:val="22"/>
        </w:rPr>
        <w:t xml:space="preserve">B. Schutzwürdige Werke</w:t>
      </w:r>
    </w:p>
    <w:p>
      <w:pPr>
        <w:spacing w:after="100" w:before="100"/>
        <w:jc w:val="left"/>
      </w:pPr>
      <w:r>
        <w:rPr>
          <w:rFonts w:ascii="Calibri" w:cs="Calibri" w:eastAsia="Calibri" w:hAnsi="Calibri"/>
          <w:sz w:val="22"/>
          <w:szCs w:val="22"/>
        </w:rPr>
        <w:t xml:space="preserve">Die Klägerin hat zahlreiche urheberrechtlich schutzfähige Lichtbildwerke im Sinne von § 2 Abs. 1 Nr. 5 UrhG geschaffen. Exemplarisch sei die Reportage „Tristesse am Bodden" (veröffentlicht in Mare Nr. 141, April/Mai 2023) genannt, die 16 Originalfotografien umfasst und durch einen unverwechselbaren ästhetischen Stil geprägt ist: spezifische Horizontkomposition, entsättigte Blaugrau-Palette, Gegenlicht-Exposition, menschenleere Landschaft.</w:t>
      </w:r>
    </w:p>
    <w:p>
      <w:pPr>
        <w:spacing w:after="100" w:before="100"/>
      </w:pPr>
    </w:p>
    <w:p>
      <w:pPr>
        <w:spacing w:after="100" w:before="100"/>
        <w:jc w:val="left"/>
      </w:pPr>
      <w:r>
        <w:rPr>
          <w:rFonts w:ascii="Calibri" w:cs="Calibri" w:eastAsia="Calibri" w:hAnsi="Calibri"/>
          <w:sz w:val="22"/>
          <w:szCs w:val="22"/>
        </w:rPr>
        <w:t xml:space="preserve">C. Opt-out nach § 44b Abs. 3 UrhG</w:t>
      </w:r>
    </w:p>
    <w:p>
      <w:pPr>
        <w:spacing w:after="100" w:before="100"/>
        <w:jc w:val="left"/>
      </w:pPr>
      <w:r>
        <w:rPr>
          <w:rFonts w:ascii="Calibri" w:cs="Calibri" w:eastAsia="Calibri" w:hAnsi="Calibri"/>
          <w:sz w:val="22"/>
          <w:szCs w:val="22"/>
        </w:rPr>
        <w:t xml:space="preserve">Die Klägerin hat auf ihrer Domain windgassen-photo.de einen wirksamen maschinenlesbaren Vorbehalt i.S.v. § 44b Abs. 3 UrhG erklärt. Seit Juni 2019 enthält die robots.txt eine Disallow-Anweisung für die maßgeblichen Verzeichnisse. Seit Oktober 2023 ist zusätzlich eine ai.txt-Datei und sind IPTC-Keywords in den Bilddateien vorhanden.</w:t>
      </w:r>
    </w:p>
    <w:p>
      <w:pPr>
        <w:spacing w:after="100" w:before="100"/>
      </w:pPr>
    </w:p>
    <w:p>
      <w:pPr>
        <w:spacing w:after="100" w:before="100"/>
        <w:jc w:val="left"/>
      </w:pPr>
      <w:r>
        <w:rPr>
          <w:rFonts w:ascii="Calibri" w:cs="Calibri" w:eastAsia="Calibri" w:hAnsi="Calibri"/>
          <w:sz w:val="22"/>
          <w:szCs w:val="22"/>
        </w:rPr>
        <w:t xml:space="preserve">D. Verletzungshandlung</w:t>
      </w:r>
    </w:p>
    <w:p>
      <w:pPr>
        <w:spacing w:after="100" w:before="100"/>
        <w:jc w:val="left"/>
      </w:pPr>
      <w:r>
        <w:rPr>
          <w:rFonts w:ascii="Calibri" w:cs="Calibri" w:eastAsia="Calibri" w:hAnsi="Calibri"/>
          <w:sz w:val="22"/>
          <w:szCs w:val="22"/>
        </w:rPr>
        <w:t xml:space="preserve">Die Beklagte betreibt den kommerziellen KI-Bildgenerator ImagineArt Pro, der nach eigenen Angaben auf einem aus dem LAION-5B-Datensatz trainierten Modell basiert. Der LAION-5B-Datensatz enthält nachweislich mindestens 161 Lichtbildwerke der Klägerin, die über CCBot-Crawlvorgänge am 03.06.2021 und 17.08.2021 ohne Zustimmung der Klägerin erfasst wurden. Die mit dem Dienst generierten Bilder zeigen unverwechselbar die Handschrift der Klägerin und stellen Kompositionsklone ihrer Werke dar (Sachverständigengutachten folgt).</w:t>
      </w:r>
    </w:p>
    <w:p>
      <w:pPr>
        <w:pBdr>
          <w:bottom w:val="single" w:color="auto" w:sz="6"/>
        </w:pBdr>
        <w:spacing w:after="200" w:before="200"/>
      </w:pPr>
    </w:p>
    <w:p>
      <w:pPr>
        <w:pStyle w:val="Heading2"/>
        <w:spacing w:after="140" w:before="280"/>
      </w:pPr>
      <w:r>
        <w:rPr>
          <w:rFonts w:ascii="Calibri" w:cs="Calibri" w:eastAsia="Calibri" w:hAnsi="Calibri"/>
          <w:b/>
          <w:bCs/>
        </w:rPr>
        <w:t xml:space="preserve">II. RECHTLICHE GRUNDLAGEN</w:t>
      </w:r>
    </w:p>
    <w:p>
      <w:pPr>
        <w:spacing w:after="100" w:before="100"/>
        <w:jc w:val="left"/>
      </w:pPr>
      <w:r>
        <w:rPr>
          <w:rFonts w:ascii="Calibri" w:cs="Calibri" w:eastAsia="Calibri" w:hAnsi="Calibri"/>
          <w:sz w:val="22"/>
          <w:szCs w:val="22"/>
        </w:rPr>
        <w:t xml:space="preserve">§ 44b Abs. 3 UrhG: Das TDM-Schrankenprivileg des § 44b Abs. 1 UrhG greift nicht, wenn der Rechtsinhaber einen maschinenlesbaren Vorbehalt erklärt hat. Die Klägerin hat einen solchen Vorbehalt erklärt. Die Beklagte hat diesen Vorbehalt missachtet oder durch Nutzung des LAION-5B-Datensatzes die Verletzungshandlung eines Dritten zu eigen gemacht.</w:t>
      </w:r>
    </w:p>
    <w:p>
      <w:pPr>
        <w:spacing w:after="100" w:before="100"/>
        <w:jc w:val="left"/>
      </w:pPr>
      <w:r>
        <w:rPr>
          <w:rFonts w:ascii="Calibri" w:cs="Calibri" w:eastAsia="Calibri" w:hAnsi="Calibri"/>
          <w:sz w:val="22"/>
          <w:szCs w:val="22"/>
        </w:rPr>
        <w:t xml:space="preserve">§ 97 Abs. 1 UrhG: Die Klägerin hat Anspruch auf Unterlassung der weiteren Verwendung ihrer Werke.</w:t>
      </w:r>
    </w:p>
    <w:p>
      <w:pPr>
        <w:spacing w:after="100" w:before="100"/>
        <w:jc w:val="left"/>
      </w:pPr>
      <w:r>
        <w:rPr>
          <w:rFonts w:ascii="Calibri" w:cs="Calibri" w:eastAsia="Calibri" w:hAnsi="Calibri"/>
          <w:sz w:val="22"/>
          <w:szCs w:val="22"/>
        </w:rPr>
        <w:t xml:space="preserve">§ 97 Abs. 2 UrhG (Lizenzanalogie): Die Beklagte hat die Lizenzgebühr zu erstatten, die für die Nutzung der Werke hätte gezahlt werden müssen.</w:t>
      </w:r>
    </w:p>
    <w:p>
      <w:pPr>
        <w:spacing w:after="100" w:before="100"/>
        <w:jc w:val="left"/>
      </w:pPr>
      <w:r>
        <w:rPr>
          <w:rFonts w:ascii="Calibri" w:cs="Calibri" w:eastAsia="Calibri" w:hAnsi="Calibri"/>
          <w:sz w:val="22"/>
          <w:szCs w:val="22"/>
        </w:rPr>
        <w:t xml:space="preserve">Art. 7 Nr. 2 Brüssel Ia-VO: Internationale Zuständigkeit des Landgerichts Hamburg (Tatortgerichtsstand).</w:t>
      </w:r>
    </w:p>
    <w:p>
      <w:pPr>
        <w:pBdr>
          <w:bottom w:val="single" w:color="auto" w:sz="6"/>
        </w:pBdr>
        <w:spacing w:after="200" w:before="200"/>
      </w:pPr>
    </w:p>
    <w:p>
      <w:pPr>
        <w:pStyle w:val="Heading2"/>
        <w:spacing w:after="140" w:before="280"/>
      </w:pPr>
      <w:r>
        <w:rPr>
          <w:rFonts w:ascii="Calibri" w:cs="Calibri" w:eastAsia="Calibri" w:hAnsi="Calibri"/>
          <w:b/>
          <w:bCs/>
        </w:rPr>
        <w:t xml:space="preserve">III. BEWEISMITTEL</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dxa" w:w="3000"/>
            <w:shd w:color="D9E1F2" w:val="solid"/>
            <w:tcMar>
              <w:top w:type="dxa" w:w="80"/>
              <w:left w:type="dxa" w:w="100"/>
              <w:bottom w:type="dxa" w:w="80"/>
              <w:right w:type="dxa" w:w="100"/>
            </w:tcMar>
          </w:tcPr>
          <w:p>
            <w:pPr>
              <w:spacing w:after="60" w:before="60"/>
            </w:pPr>
            <w:r>
              <w:rPr>
                <w:rFonts w:ascii="Calibri" w:cs="Calibri" w:eastAsia="Calibri" w:hAnsi="Calibri"/>
                <w:b/>
                <w:bCs/>
                <w:sz w:val="20"/>
                <w:szCs w:val="20"/>
              </w:rPr>
              <w:t xml:space="preserve">Beweisthema</w:t>
            </w:r>
          </w:p>
        </w:tc>
        <w:tc>
          <w:tcPr>
            <w:tcW w:type="dxa" w:w="3500"/>
            <w:shd w:color="D9E1F2" w:val="solid"/>
            <w:tcMar>
              <w:top w:type="dxa" w:w="80"/>
              <w:left w:type="dxa" w:w="100"/>
              <w:bottom w:type="dxa" w:w="80"/>
              <w:right w:type="dxa" w:w="100"/>
            </w:tcMar>
          </w:tcPr>
          <w:p>
            <w:pPr>
              <w:spacing w:after="60" w:before="60"/>
            </w:pPr>
            <w:r>
              <w:rPr>
                <w:rFonts w:ascii="Calibri" w:cs="Calibri" w:eastAsia="Calibri" w:hAnsi="Calibri"/>
                <w:b/>
                <w:bCs/>
                <w:sz w:val="20"/>
                <w:szCs w:val="20"/>
              </w:rPr>
              <w:t xml:space="preserve">Beweismittel</w:t>
            </w:r>
          </w:p>
        </w:tc>
        <w:tc>
          <w:tcPr>
            <w:tcW w:type="dxa" w:w="2500"/>
            <w:shd w:color="D9E1F2" w:val="solid"/>
            <w:tcMar>
              <w:top w:type="dxa" w:w="80"/>
              <w:left w:type="dxa" w:w="100"/>
              <w:bottom w:type="dxa" w:w="80"/>
              <w:right w:type="dxa" w:w="100"/>
            </w:tcMar>
          </w:tcPr>
          <w:p>
            <w:pPr>
              <w:spacing w:after="60" w:before="60"/>
            </w:pPr>
            <w:r>
              <w:rPr>
                <w:rFonts w:ascii="Calibri" w:cs="Calibri" w:eastAsia="Calibri" w:hAnsi="Calibri"/>
                <w:b/>
                <w:bCs/>
                <w:sz w:val="20"/>
                <w:szCs w:val="20"/>
              </w:rPr>
              <w:t xml:space="preserve">Anlage</w:t>
            </w:r>
          </w:p>
        </w:tc>
      </w:tr>
      <w:tr>
        <w:tc>
          <w:tcPr>
            <w:tcW w:type="dxa" w:w="3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Urheberrecht Klägerin</w:t>
            </w:r>
          </w:p>
        </w:tc>
        <w:tc>
          <w:tcPr>
            <w:tcW w:type="dxa" w:w="35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Katalogartikel Mare, EXIF-Daten</w:t>
            </w:r>
          </w:p>
        </w:tc>
        <w:tc>
          <w:tcPr>
            <w:tcW w:type="dxa" w:w="25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K-1, K-2</w:t>
            </w:r>
          </w:p>
        </w:tc>
      </w:tr>
      <w:tr>
        <w:tc>
          <w:tcPr>
            <w:tcW w:type="dxa" w:w="3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Aufnahme in LAION-5B</w:t>
            </w:r>
          </w:p>
        </w:tc>
        <w:tc>
          <w:tcPr>
            <w:tcW w:type="dxa" w:w="35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Serverlog-Analyse IT-Forensik Barkhoff</w:t>
            </w:r>
          </w:p>
        </w:tc>
        <w:tc>
          <w:tcPr>
            <w:tcW w:type="dxa" w:w="25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K-3</w:t>
            </w:r>
          </w:p>
        </w:tc>
      </w:tr>
      <w:tr>
        <w:tc>
          <w:tcPr>
            <w:tcW w:type="dxa" w:w="3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Verwendung durch Beklagte</w:t>
            </w:r>
          </w:p>
        </w:tc>
        <w:tc>
          <w:tcPr>
            <w:tcW w:type="dxa" w:w="35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ImagineArt-Pressemitteilung, öffentl. Doku</w:t>
            </w:r>
          </w:p>
        </w:tc>
        <w:tc>
          <w:tcPr>
            <w:tcW w:type="dxa" w:w="25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K-4</w:t>
            </w:r>
          </w:p>
        </w:tc>
      </w:tr>
      <w:tr>
        <w:tc>
          <w:tcPr>
            <w:tcW w:type="dxa" w:w="3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Stilmimikry/Kompositionsklone</w:t>
            </w:r>
          </w:p>
        </w:tc>
        <w:tc>
          <w:tcPr>
            <w:tcW w:type="dxa" w:w="35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Gutachten Prof. Dr. Felber (HfbK)</w:t>
            </w:r>
          </w:p>
        </w:tc>
        <w:tc>
          <w:tcPr>
            <w:tcW w:type="dxa" w:w="25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K-5 (folgt)</w:t>
            </w:r>
          </w:p>
        </w:tc>
      </w:tr>
      <w:tr>
        <w:tc>
          <w:tcPr>
            <w:tcW w:type="dxa" w:w="3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robots.txt zum Crawl-Datum</w:t>
            </w:r>
          </w:p>
        </w:tc>
        <w:tc>
          <w:tcPr>
            <w:tcW w:type="dxa" w:w="35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Serverlog + Wayback Machine</w:t>
            </w:r>
          </w:p>
        </w:tc>
        <w:tc>
          <w:tcPr>
            <w:tcW w:type="dxa" w:w="25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K-6</w:t>
            </w:r>
          </w:p>
        </w:tc>
      </w:tr>
      <w:tr>
        <w:tc>
          <w:tcPr>
            <w:tcW w:type="dxa" w:w="30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Opt-out ai.txt Oktober 2023</w:t>
            </w:r>
          </w:p>
        </w:tc>
        <w:tc>
          <w:tcPr>
            <w:tcW w:type="dxa" w:w="35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Screenshot + Server-Dump</w:t>
            </w:r>
          </w:p>
        </w:tc>
        <w:tc>
          <w:tcPr>
            <w:tcW w:type="dxa" w:w="2500"/>
            <w:tcMar>
              <w:top w:type="dxa" w:w="80"/>
              <w:left w:type="dxa" w:w="100"/>
              <w:bottom w:type="dxa" w:w="80"/>
              <w:right w:type="dxa" w:w="100"/>
            </w:tcMar>
          </w:tcPr>
          <w:p>
            <w:pPr>
              <w:spacing w:after="60" w:before="60"/>
            </w:pPr>
            <w:r>
              <w:rPr>
                <w:rFonts w:ascii="Calibri" w:cs="Calibri" w:eastAsia="Calibri" w:hAnsi="Calibri"/>
                <w:b w:val="false"/>
                <w:bCs w:val="false"/>
                <w:sz w:val="20"/>
                <w:szCs w:val="20"/>
              </w:rPr>
              <w:t xml:space="preserve">K-7</w:t>
            </w:r>
          </w:p>
        </w:tc>
      </w:tr>
    </w:tbl>
    <w:p>
      <w:pPr>
        <w:spacing w:after="100" w:before="400"/>
      </w:pPr>
    </w:p>
    <w:p>
      <w:pPr>
        <w:spacing w:after="100" w:before="100"/>
        <w:jc w:val="left"/>
      </w:pPr>
      <w:r>
        <w:rPr>
          <w:rFonts w:ascii="Calibri" w:cs="Calibri" w:eastAsia="Calibri" w:hAnsi="Calibri"/>
          <w:sz w:val="22"/>
          <w:szCs w:val="22"/>
        </w:rPr>
        <w:t xml:space="preserve">Streitwert: 150.000,00 EUR</w:t>
      </w:r>
    </w:p>
    <w:p>
      <w:pPr>
        <w:spacing w:after="100" w:before="400"/>
      </w:pPr>
    </w:p>
    <w:p>
      <w:pPr>
        <w:spacing w:after="100" w:before="100"/>
        <w:jc w:val="left"/>
      </w:pPr>
      <w:r>
        <w:rPr>
          <w:rFonts w:ascii="Calibri" w:cs="Calibri" w:eastAsia="Calibri" w:hAnsi="Calibri"/>
          <w:sz w:val="22"/>
          <w:szCs w:val="22"/>
        </w:rPr>
        <w:t xml:space="preserve">Hamburg, den 28.02.2026</w:t>
      </w:r>
    </w:p>
    <w:p>
      <w:pPr>
        <w:spacing w:after="100" w:before="400"/>
      </w:pPr>
    </w:p>
    <w:p>
      <w:pPr>
        <w:spacing w:after="100" w:before="100"/>
        <w:jc w:val="left"/>
      </w:pPr>
      <w:r>
        <w:rPr>
          <w:rFonts w:ascii="Calibri" w:cs="Calibri" w:eastAsia="Calibri" w:hAnsi="Calibri"/>
          <w:sz w:val="22"/>
          <w:szCs w:val="22"/>
        </w:rPr>
        <w:t xml:space="preserve">_____________________________</w:t>
      </w:r>
    </w:p>
    <w:p>
      <w:pPr>
        <w:spacing w:after="100" w:before="100"/>
        <w:jc w:val="left"/>
      </w:pPr>
      <w:r>
        <w:rPr>
          <w:rFonts w:ascii="Calibri" w:cs="Calibri" w:eastAsia="Calibri" w:hAnsi="Calibri"/>
          <w:sz w:val="22"/>
          <w:szCs w:val="22"/>
        </w:rPr>
        <w:t xml:space="preserve">Dr. Antonia Kreidler-Bremer</w:t>
      </w:r>
    </w:p>
    <w:p>
      <w:pPr>
        <w:spacing w:after="100" w:before="100"/>
        <w:jc w:val="left"/>
      </w:pPr>
      <w:r>
        <w:rPr>
          <w:rFonts w:ascii="Calibri" w:cs="Calibri" w:eastAsia="Calibri" w:hAnsi="Calibri"/>
          <w:sz w:val="22"/>
          <w:szCs w:val="22"/>
        </w:rPr>
        <w:t xml:space="preserve">Fachanwältin für Urheber- und Medienrecht</w:t>
      </w:r>
    </w:p>
    <w:p>
      <w:pPr>
        <w:spacing w:after="100" w:before="100"/>
        <w:jc w:val="left"/>
      </w:pPr>
      <w:r>
        <w:rPr>
          <w:rFonts w:ascii="Calibri" w:cs="Calibri" w:eastAsia="Calibri" w:hAnsi="Calibri"/>
          <w:sz w:val="22"/>
          <w:szCs w:val="22"/>
        </w:rPr>
        <w:t xml:space="preserve">Kanzlei Kreidler-Bremer Medienrecht, Hamburg</w:t>
      </w:r>
    </w:p>
    <w:p>
      <w:pPr>
        <w:spacing w:after="100" w:before="600"/>
      </w:pPr>
    </w:p>
    <w:p>
      <w:pPr>
        <w:spacing w:after="100" w:before="100"/>
        <w:jc w:val="left"/>
      </w:pPr>
      <w:r>
        <w:rPr>
          <w:rFonts w:ascii="Calibri" w:cs="Calibri" w:eastAsia="Calibri" w:hAnsi="Calibri"/>
          <w:b/>
          <w:bCs/>
          <w:sz w:val="22"/>
          <w:szCs w:val="22"/>
        </w:rPr>
        <w:t xml:space="preserve">Quellen und Rechtsprechungsnachweise:</w:t>
      </w:r>
    </w:p>
    <w:p>
      <w:pPr>
        <w:spacing w:after="100" w:before="100"/>
        <w:jc w:val="left"/>
      </w:pPr>
      <w:r>
        <w:rPr>
          <w:rFonts w:ascii="Calibri" w:cs="Calibri" w:eastAsia="Calibri" w:hAnsi="Calibri"/>
          <w:color w:val="444444"/>
          <w:sz w:val="18"/>
          <w:szCs w:val="18"/>
        </w:rPr>
        <w:t xml:space="preserve">BGH Tauschbörse III: https://www.bundesgerichtshof.de/SharedDocs/Entscheidungen/DE/2015/06/IZR7514.html</w:t>
      </w:r>
    </w:p>
    <w:p>
      <w:pPr>
        <w:spacing w:after="100" w:before="100"/>
        <w:jc w:val="left"/>
      </w:pPr>
      <w:r>
        <w:rPr>
          <w:rFonts w:ascii="Calibri" w:cs="Calibri" w:eastAsia="Calibri" w:hAnsi="Calibri"/>
          <w:color w:val="444444"/>
          <w:sz w:val="18"/>
          <w:szCs w:val="18"/>
        </w:rPr>
        <w:t xml:space="preserve">§ 44b UrhG: https://dejure.org/gesetze/UrhG/44b.html</w:t>
      </w:r>
    </w:p>
    <w:p>
      <w:pPr>
        <w:spacing w:after="100" w:before="100"/>
        <w:jc w:val="left"/>
      </w:pPr>
      <w:r>
        <w:rPr>
          <w:rFonts w:ascii="Calibri" w:cs="Calibri" w:eastAsia="Calibri" w:hAnsi="Calibri"/>
          <w:color w:val="444444"/>
          <w:sz w:val="18"/>
          <w:szCs w:val="18"/>
        </w:rPr>
        <w:t xml:space="preserve">§ 97 UrhG: https://dejure.org/gesetze/UrhG/97.html</w:t>
      </w:r>
    </w:p>
    <w:p>
      <w:pPr>
        <w:spacing w:after="100" w:before="100"/>
        <w:jc w:val="left"/>
      </w:pPr>
      <w:r>
        <w:rPr>
          <w:rFonts w:ascii="Calibri" w:cs="Calibri" w:eastAsia="Calibri" w:hAnsi="Calibri"/>
          <w:color w:val="444444"/>
          <w:sz w:val="18"/>
          <w:szCs w:val="18"/>
        </w:rPr>
        <w:t xml:space="preserve">VGG § 92: https://dejure.org/gesetze/VGG/92.html</w:t>
      </w:r>
    </w:p>
    <w:sectPr>
      <w:pgSz w:w="11906" w:h="16838" w:orient="portrait"/>
      <w:pgMar w:top="1440" w:right="144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2026-05-30T15:55:49.792Z</dcterms:created>
  <dcterms:modified xsi:type="dcterms:W3CDTF">2026-05-30T15:55:49.792Z</dcterms:modified>
</cp:coreProperties>
</file>

<file path=docProps/custom.xml><?xml version="1.0" encoding="utf-8"?>
<Properties xmlns="http://schemas.openxmlformats.org/officeDocument/2006/custom-properties" xmlns:vt="http://schemas.openxmlformats.org/officeDocument/2006/docPropsVTypes"/>
</file>