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0"/>
        <w:jc w:val="center"/>
      </w:pPr>
      <w:r>
        <w:rPr>
          <w:rFonts w:ascii="Calibri" w:cs="Calibri" w:eastAsia="Calibri" w:hAnsi="Calibri"/>
          <w:b/>
          <w:bCs/>
          <w:caps/>
          <w:sz w:val="28"/>
          <w:szCs w:val="28"/>
        </w:rPr>
        <w:t xml:space="preserve">AMTSGERICHT MÜNCHEN</w:t>
      </w:r>
    </w:p>
    <w:p>
      <w:pPr>
        <w:spacing w:after="120" w:before="0"/>
        <w:jc w:val="center"/>
      </w:pPr>
      <w:r>
        <w:rPr>
          <w:rFonts w:ascii="Calibri" w:cs="Calibri" w:eastAsia="Calibri" w:hAnsi="Calibri"/>
          <w:sz w:val="22"/>
          <w:szCs w:val="22"/>
        </w:rPr>
        <w:t xml:space="preserve">Aktenzeichen: 155 C 18801/26</w:t>
      </w:r>
    </w:p>
    <w:p>
      <w:pPr>
        <w:pBdr>
          <w:bottom w:val="single" w:color="auto" w:sz="6"/>
        </w:pBdr>
        <w:spacing w:after="200" w:before="200"/>
      </w:pPr>
    </w:p>
    <w:p>
      <w:pPr>
        <w:pStyle w:val="Heading1"/>
        <w:spacing w:after="140" w:before="280"/>
      </w:pPr>
      <w:r>
        <w:rPr>
          <w:rFonts w:ascii="Calibri" w:cs="Calibri" w:eastAsia="Calibri" w:hAnsi="Calibri"/>
          <w:b/>
          <w:bCs/>
        </w:rPr>
        <w:t xml:space="preserve">KLAGE</w:t>
      </w:r>
    </w:p>
    <w:p>
      <w:pPr>
        <w:spacing w:after="100" w:before="100"/>
        <w:jc w:val="left"/>
      </w:pPr>
      <w:r>
        <w:rPr>
          <w:rFonts w:ascii="Calibri" w:cs="Calibri" w:eastAsia="Calibri" w:hAnsi="Calibri"/>
          <w:sz w:val="22"/>
          <w:szCs w:val="22"/>
        </w:rPr>
        <w:t xml:space="preserve">auf negative Feststellung</w:t>
      </w:r>
    </w:p>
    <w:p>
      <w:pPr>
        <w:pBdr>
          <w:bottom w:val="single" w:color="auto" w:sz="6"/>
        </w:pBdr>
        <w:spacing w:after="200" w:before="200"/>
      </w:pPr>
    </w:p>
    <w:p>
      <w:pPr>
        <w:spacing w:after="100" w:before="200"/>
      </w:pPr>
    </w:p>
    <w:p>
      <w:pPr>
        <w:spacing w:after="100" w:before="100"/>
        <w:jc w:val="left"/>
      </w:pPr>
      <w:r>
        <w:rPr>
          <w:rFonts w:ascii="Calibri" w:cs="Calibri" w:eastAsia="Calibri" w:hAnsi="Calibri"/>
          <w:b/>
          <w:bCs/>
          <w:sz w:val="22"/>
          <w:szCs w:val="22"/>
        </w:rPr>
        <w:t xml:space="preserve">der Mira Windgassen, Frickestraße 29, 20251 Hamburg,</w:t>
      </w:r>
    </w:p>
    <w:p>
      <w:pPr>
        <w:spacing w:after="100" w:before="100"/>
        <w:jc w:val="left"/>
      </w:pPr>
      <w:r>
        <w:rPr>
          <w:rFonts w:ascii="Calibri" w:cs="Calibri" w:eastAsia="Calibri" w:hAnsi="Calibri"/>
          <w:sz w:val="22"/>
          <w:szCs w:val="22"/>
        </w:rPr>
        <w:t xml:space="preserve">— Klägerin —</w:t>
      </w:r>
    </w:p>
    <w:p>
      <w:pPr>
        <w:spacing w:after="100" w:before="100"/>
      </w:pPr>
    </w:p>
    <w:p>
      <w:pPr>
        <w:spacing w:after="100" w:before="100"/>
        <w:jc w:val="left"/>
      </w:pPr>
      <w:r>
        <w:rPr>
          <w:rFonts w:ascii="Calibri" w:cs="Calibri" w:eastAsia="Calibri" w:hAnsi="Calibri"/>
          <w:sz w:val="22"/>
          <w:szCs w:val="22"/>
        </w:rPr>
        <w:t xml:space="preserve">vertreten durch Dr. Antonia Kreidler-Bremer, Fachanwältin für Urheber- und Medienrecht,</w:t>
      </w:r>
    </w:p>
    <w:p>
      <w:pPr>
        <w:spacing w:after="100" w:before="100"/>
        <w:jc w:val="left"/>
      </w:pPr>
      <w:r>
        <w:rPr>
          <w:rFonts w:ascii="Calibri" w:cs="Calibri" w:eastAsia="Calibri" w:hAnsi="Calibri"/>
          <w:sz w:val="22"/>
          <w:szCs w:val="22"/>
        </w:rPr>
        <w:t xml:space="preserve">Kanzlei Kreidler-Bremer Medienrecht, Mittelweg 147, 20148 Hamburg</w:t>
      </w:r>
    </w:p>
    <w:p>
      <w:pPr>
        <w:spacing w:after="200" w:before="200"/>
      </w:pPr>
    </w:p>
    <w:p>
      <w:pPr>
        <w:spacing w:after="100" w:before="100"/>
        <w:jc w:val="left"/>
      </w:pPr>
      <w:r>
        <w:rPr>
          <w:rFonts w:ascii="Calibri" w:cs="Calibri" w:eastAsia="Calibri" w:hAnsi="Calibri"/>
          <w:sz w:val="22"/>
          <w:szCs w:val="22"/>
        </w:rPr>
        <w:t xml:space="preserve">gegen</w:t>
      </w:r>
    </w:p>
    <w:p>
      <w:pPr>
        <w:spacing w:after="200" w:before="200"/>
      </w:pPr>
    </w:p>
    <w:p>
      <w:pPr>
        <w:spacing w:after="100" w:before="100"/>
        <w:jc w:val="left"/>
      </w:pPr>
      <w:r>
        <w:rPr>
          <w:rFonts w:ascii="Calibri" w:cs="Calibri" w:eastAsia="Calibri" w:hAnsi="Calibri"/>
          <w:b/>
          <w:bCs/>
          <w:sz w:val="22"/>
          <w:szCs w:val="22"/>
        </w:rPr>
        <w:t xml:space="preserve">Waldorf Frommer Rechtsanwälte, Beethovenstraße 11, 80336 München,</w:t>
      </w:r>
    </w:p>
    <w:p>
      <w:pPr>
        <w:spacing w:after="100" w:before="100"/>
        <w:jc w:val="left"/>
      </w:pPr>
      <w:r>
        <w:rPr>
          <w:rFonts w:ascii="Calibri" w:cs="Calibri" w:eastAsia="Calibri" w:hAnsi="Calibri"/>
          <w:sz w:val="22"/>
          <w:szCs w:val="22"/>
        </w:rPr>
        <w:t xml:space="preserve">handelnd für und namens ihrer Mandanten (unbekannte Rechteinhaber),</w:t>
      </w:r>
    </w:p>
    <w:p>
      <w:pPr>
        <w:spacing w:after="100" w:before="100"/>
        <w:jc w:val="left"/>
      </w:pPr>
      <w:r>
        <w:rPr>
          <w:rFonts w:ascii="Calibri" w:cs="Calibri" w:eastAsia="Calibri" w:hAnsi="Calibri"/>
          <w:sz w:val="22"/>
          <w:szCs w:val="22"/>
        </w:rPr>
        <w:t xml:space="preserve">— Beklagte —</w:t>
      </w:r>
    </w:p>
    <w:p>
      <w:pPr>
        <w:pBdr>
          <w:bottom w:val="single" w:color="auto" w:sz="6"/>
        </w:pBdr>
        <w:spacing w:after="200" w:before="200"/>
      </w:pPr>
    </w:p>
    <w:p>
      <w:pPr>
        <w:pStyle w:val="Heading2"/>
        <w:spacing w:after="140" w:before="280"/>
      </w:pPr>
      <w:r>
        <w:rPr>
          <w:rFonts w:ascii="Calibri" w:cs="Calibri" w:eastAsia="Calibri" w:hAnsi="Calibri"/>
          <w:b/>
          <w:bCs/>
        </w:rPr>
        <w:t xml:space="preserve">KLAGEANTRAG</w:t>
      </w:r>
    </w:p>
    <w:p>
      <w:pPr>
        <w:spacing w:after="100" w:before="100"/>
        <w:jc w:val="left"/>
      </w:pPr>
      <w:r>
        <w:rPr>
          <w:rFonts w:ascii="Calibri" w:cs="Calibri" w:eastAsia="Calibri" w:hAnsi="Calibri"/>
          <w:sz w:val="22"/>
          <w:szCs w:val="22"/>
        </w:rPr>
        <w:t xml:space="preserve">Es wird beantragt, festzustellen, dass</w:t>
      </w:r>
    </w:p>
    <w:p>
      <w:pPr>
        <w:spacing w:after="160" w:before="160"/>
        <w:ind w:left="720"/>
      </w:pPr>
      <w:r>
        <w:rPr>
          <w:rFonts w:ascii="Calibri" w:cs="Calibri" w:eastAsia="Calibri" w:hAnsi="Calibri"/>
          <w:sz w:val="22"/>
          <w:szCs w:val="22"/>
        </w:rPr>
        <w:t xml:space="preserve">1. der Klägerin gegenüber den Beklagten kein Unterlassungsanspruch aus §§ 85, 94, 97 UrhG wegen der am 13.11.2025 über den Internetanschluss IP 91.65.XXX.XXX angeblich erfolgten urheberrechtsverletzenden öffentlichen Zugänglichmachung der Filmwerke „Oppenheimer" (2023), „Barbie" (2023) und „Mission: Impossible — Dead Reckoning Part One" (2023) besteht;</w:t>
      </w:r>
    </w:p>
    <w:p>
      <w:pPr>
        <w:spacing w:after="160" w:before="160"/>
        <w:ind w:left="720"/>
      </w:pPr>
      <w:r>
        <w:rPr>
          <w:rFonts w:ascii="Calibri" w:cs="Calibri" w:eastAsia="Calibri" w:hAnsi="Calibri"/>
          <w:sz w:val="22"/>
          <w:szCs w:val="22"/>
        </w:rPr>
        <w:t xml:space="preserve">2. die Klägerin den Beklagten gegenüber nicht zur Zahlung von Schadensersatz in Höhe von 850,00 EUR und/oder Abmahnkosten in Höhe von 1.295,00 EUR verpflichtet ist.</w:t>
      </w:r>
    </w:p>
    <w:p>
      <w:pPr>
        <w:pBdr>
          <w:bottom w:val="single" w:color="auto" w:sz="6"/>
        </w:pBdr>
        <w:spacing w:after="200" w:before="200"/>
      </w:pPr>
    </w:p>
    <w:p>
      <w:pPr>
        <w:pStyle w:val="Heading2"/>
        <w:spacing w:after="140" w:before="280"/>
      </w:pPr>
      <w:r>
        <w:rPr>
          <w:rFonts w:ascii="Calibri" w:cs="Calibri" w:eastAsia="Calibri" w:hAnsi="Calibri"/>
          <w:b/>
          <w:bCs/>
        </w:rPr>
        <w:t xml:space="preserve">SACHVERHALT</w:t>
      </w:r>
    </w:p>
    <w:p>
      <w:pPr>
        <w:spacing w:after="100" w:before="100"/>
        <w:jc w:val="left"/>
      </w:pPr>
      <w:r>
        <w:rPr>
          <w:rFonts w:ascii="Calibri" w:cs="Calibri" w:eastAsia="Calibri" w:hAnsi="Calibri"/>
          <w:sz w:val="22"/>
          <w:szCs w:val="22"/>
        </w:rPr>
        <w:t xml:space="preserve">Die Beklagten haben die Klägerin mit Schreiben vom 06.01.2026 wegen angeblicher Urheberrechtsverletzungen über einen Internetzugangsanschluss abgemahnt und eine strafbewehrte Unterlassungserklärung sowie Schadensersatz- und Kostenerstattungszahlung von insgesamt 2.145,00 EUR gefordert.</w:t>
      </w:r>
    </w:p>
    <w:p>
      <w:pPr>
        <w:spacing w:after="100" w:before="100"/>
      </w:pPr>
    </w:p>
    <w:p>
      <w:pPr>
        <w:spacing w:after="100" w:before="100"/>
        <w:jc w:val="left"/>
      </w:pPr>
      <w:r>
        <w:rPr>
          <w:rFonts w:ascii="Calibri" w:cs="Calibri" w:eastAsia="Calibri" w:hAnsi="Calibri"/>
          <w:sz w:val="22"/>
          <w:szCs w:val="22"/>
        </w:rPr>
        <w:t xml:space="preserve">Die Klägerin ist Anschlussinhaberin des Internetanschlusses mit der IP-Adresse 91.65.XXX.XXX. Sie hat die vorgeworfenen Urheberrechtsverletzungen jedoch nicht begangen. Der Internetanschluss der Klägerin wird von ihrer gesamten Familie genutzt; insbesondere hat ihr zum Tatzeitpunkt 14-jähriger Sohn Felix Windgassen Zugang zu diesem Anschluss.</w:t>
      </w:r>
    </w:p>
    <w:p>
      <w:pPr>
        <w:spacing w:after="100" w:before="100"/>
      </w:pPr>
    </w:p>
    <w:p>
      <w:pPr>
        <w:spacing w:after="100" w:before="100"/>
        <w:jc w:val="left"/>
      </w:pPr>
      <w:r>
        <w:rPr>
          <w:rFonts w:ascii="Calibri" w:cs="Calibri" w:eastAsia="Calibri" w:hAnsi="Calibri"/>
          <w:sz w:val="22"/>
          <w:szCs w:val="22"/>
        </w:rPr>
        <w:t xml:space="preserve">Die Klägerin erfüllt die sekundäre Darlegungslast nach den Grundsätzen des BGH (Tauschbörse I–III, NJW 2014, 2360 ff.) durch Benennung des minderjährigen Familienangehörigen als ernsthaft in Betracht kommenden Alternativtäter.</w:t>
      </w:r>
    </w:p>
    <w:p>
      <w:pPr>
        <w:pBdr>
          <w:bottom w:val="single" w:color="auto" w:sz="6"/>
        </w:pBdr>
        <w:spacing w:after="200" w:before="200"/>
      </w:pPr>
    </w:p>
    <w:p>
      <w:pPr>
        <w:pStyle w:val="Heading2"/>
        <w:spacing w:after="140" w:before="280"/>
      </w:pPr>
      <w:r>
        <w:rPr>
          <w:rFonts w:ascii="Calibri" w:cs="Calibri" w:eastAsia="Calibri" w:hAnsi="Calibri"/>
          <w:b/>
          <w:bCs/>
        </w:rPr>
        <w:t xml:space="preserve">RECHTLICHE WÜRDIGUNG</w:t>
      </w:r>
    </w:p>
    <w:p>
      <w:pPr>
        <w:spacing w:after="100" w:before="100"/>
        <w:jc w:val="left"/>
      </w:pPr>
      <w:r>
        <w:rPr>
          <w:rFonts w:ascii="Calibri" w:cs="Calibri" w:eastAsia="Calibri" w:hAnsi="Calibri"/>
          <w:sz w:val="22"/>
          <w:szCs w:val="22"/>
        </w:rPr>
        <w:t xml:space="preserve">I. Sekundäre Darlegungslast</w:t>
      </w:r>
    </w:p>
    <w:p>
      <w:pPr>
        <w:spacing w:after="100" w:before="100"/>
        <w:jc w:val="left"/>
      </w:pPr>
      <w:r>
        <w:rPr>
          <w:rFonts w:ascii="Calibri" w:cs="Calibri" w:eastAsia="Calibri" w:hAnsi="Calibri"/>
          <w:sz w:val="22"/>
          <w:szCs w:val="22"/>
        </w:rPr>
        <w:t xml:space="preserve">Nach den Grundsätzen des BGH (Tauschbörse III, I ZR 75/14) genügt der Anschlussinhaber seiner sekundären Darlegungslast, wenn er darlegt, welche andere Person den Anschluss zu den in Frage stehenden Zeiten benutzt hat. Eine weitergehende Verpflichtung, den Computer zu kontrollieren oder den Internetzugang zu sperren, besteht nicht.</w:t>
      </w:r>
    </w:p>
    <w:p>
      <w:pPr>
        <w:spacing w:after="100" w:before="100"/>
      </w:pPr>
    </w:p>
    <w:p>
      <w:pPr>
        <w:spacing w:after="100" w:before="100"/>
        <w:jc w:val="left"/>
      </w:pPr>
      <w:r>
        <w:rPr>
          <w:rFonts w:ascii="Calibri" w:cs="Calibri" w:eastAsia="Calibri" w:hAnsi="Calibri"/>
          <w:sz w:val="22"/>
          <w:szCs w:val="22"/>
        </w:rPr>
        <w:t xml:space="preserve">II. Aufsichtspflichtverletzung</w:t>
      </w:r>
    </w:p>
    <w:p>
      <w:pPr>
        <w:spacing w:after="100" w:before="100"/>
        <w:jc w:val="left"/>
      </w:pPr>
      <w:r>
        <w:rPr>
          <w:rFonts w:ascii="Calibri" w:cs="Calibri" w:eastAsia="Calibri" w:hAnsi="Calibri"/>
          <w:sz w:val="22"/>
          <w:szCs w:val="22"/>
        </w:rPr>
        <w:t xml:space="preserve">Die Klägerin hat ihren Sohn über die Rechtswidrigkeit von Urheberrechtsverletzungen im Internet belehrt. Eine Überwachungspflicht im Einzelnen besteht nach § 832 BGB gegenüber einem 14-jährigen Kind nicht (BGH, Tauschbörse III).</w:t>
      </w:r>
    </w:p>
    <w:p>
      <w:pPr>
        <w:spacing w:after="100" w:before="100"/>
      </w:pPr>
    </w:p>
    <w:p>
      <w:pPr>
        <w:spacing w:after="100" w:before="100"/>
        <w:jc w:val="left"/>
      </w:pPr>
      <w:r>
        <w:rPr>
          <w:rFonts w:ascii="Calibri" w:cs="Calibri" w:eastAsia="Calibri" w:hAnsi="Calibri"/>
          <w:sz w:val="22"/>
          <w:szCs w:val="22"/>
        </w:rPr>
        <w:t xml:space="preserve">III. Aktivlegitimation der Beklagten</w:t>
      </w:r>
    </w:p>
    <w:p>
      <w:pPr>
        <w:spacing w:after="100" w:before="100"/>
        <w:jc w:val="left"/>
      </w:pPr>
      <w:r>
        <w:rPr>
          <w:rFonts w:ascii="Calibri" w:cs="Calibri" w:eastAsia="Calibri" w:hAnsi="Calibri"/>
          <w:sz w:val="22"/>
          <w:szCs w:val="22"/>
        </w:rPr>
        <w:t xml:space="preserve">Die Beklagten haben den Nachweis der Aktivlegitimation ihrer namentlich nicht genannten Mandanten nicht erbracht. Ohne Nachweis der vollständigen Lizenzkette fehlt die Aktivlegitimation für den Unterlassungsanspruch.</w:t>
      </w:r>
    </w:p>
    <w:p>
      <w:pPr>
        <w:pBdr>
          <w:bottom w:val="single" w:color="auto" w:sz="6"/>
        </w:pBdr>
        <w:spacing w:after="200" w:before="200"/>
      </w:pPr>
    </w:p>
    <w:p>
      <w:pPr>
        <w:pStyle w:val="Heading2"/>
        <w:spacing w:after="140" w:before="280"/>
      </w:pPr>
      <w:r>
        <w:rPr>
          <w:rFonts w:ascii="Calibri" w:cs="Calibri" w:eastAsia="Calibri" w:hAnsi="Calibri"/>
          <w:b/>
          <w:bCs/>
        </w:rPr>
        <w:t xml:space="preserve">BEWEISANGEBOTE</w:t>
      </w:r>
    </w:p>
    <w:p>
      <w:pPr>
        <w:spacing w:after="100" w:before="100"/>
        <w:jc w:val="left"/>
      </w:pPr>
      <w:r>
        <w:rPr>
          <w:rFonts w:ascii="Calibri" w:cs="Calibri" w:eastAsia="Calibri" w:hAnsi="Calibri"/>
          <w:sz w:val="22"/>
          <w:szCs w:val="22"/>
        </w:rPr>
        <w:t xml:space="preserve">Zeuge: Felix Windgassen (minderjährig, Ladung über Mutter), zu: Nutzung des Anschlusses am 13.11.2025 und Verwendung von BitTorrent-Software.</w:t>
      </w:r>
    </w:p>
    <w:p>
      <w:pPr>
        <w:spacing w:after="100" w:before="100"/>
        <w:jc w:val="left"/>
      </w:pPr>
      <w:r>
        <w:rPr>
          <w:rFonts w:ascii="Calibri" w:cs="Calibri" w:eastAsia="Calibri" w:hAnsi="Calibri"/>
          <w:sz w:val="22"/>
          <w:szCs w:val="22"/>
        </w:rPr>
        <w:t xml:space="preserve">Sachverständiger: Technische Analyse IP-Zuordnung und Tauschbörsen-Protokoll.</w:t>
      </w:r>
    </w:p>
    <w:p>
      <w:pPr>
        <w:pBdr>
          <w:bottom w:val="single" w:color="auto" w:sz="6"/>
        </w:pBdr>
        <w:spacing w:after="200" w:before="200"/>
      </w:pPr>
    </w:p>
    <w:p>
      <w:pPr>
        <w:pStyle w:val="Heading2"/>
        <w:spacing w:after="140" w:before="280"/>
      </w:pPr>
      <w:r>
        <w:rPr>
          <w:rFonts w:ascii="Calibri" w:cs="Calibri" w:eastAsia="Calibri" w:hAnsi="Calibri"/>
          <w:b/>
          <w:bCs/>
        </w:rPr>
        <w:t xml:space="preserve">STREITWERT UND KOSTEN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5000"/>
            <w:shd w:color="D9E1F2" w:val="solid"/>
            <w:tcMar>
              <w:top w:type="dxa" w:w="80"/>
              <w:left w:type="dxa" w:w="100"/>
              <w:bottom w:type="dxa" w:w="80"/>
              <w:right w:type="dxa" w:w="100"/>
            </w:tcMar>
          </w:tcPr>
          <w:p>
            <w:pPr>
              <w:spacing w:after="60" w:before="60"/>
            </w:pPr>
            <w:r>
              <w:rPr>
                <w:rFonts w:ascii="Calibri" w:cs="Calibri" w:eastAsia="Calibri" w:hAnsi="Calibri"/>
                <w:b/>
                <w:bCs/>
                <w:sz w:val="20"/>
                <w:szCs w:val="20"/>
              </w:rPr>
              <w:t xml:space="preserve">Position</w:t>
            </w:r>
          </w:p>
        </w:tc>
        <w:tc>
          <w:tcPr>
            <w:tcW w:type="dxa" w:w="4000"/>
            <w:shd w:color="D9E1F2" w:val="solid"/>
            <w:tcMar>
              <w:top w:type="dxa" w:w="80"/>
              <w:left w:type="dxa" w:w="100"/>
              <w:bottom w:type="dxa" w:w="80"/>
              <w:right w:type="dxa" w:w="100"/>
            </w:tcMar>
          </w:tcPr>
          <w:p>
            <w:pPr>
              <w:spacing w:after="60" w:before="60"/>
            </w:pPr>
            <w:r>
              <w:rPr>
                <w:rFonts w:ascii="Calibri" w:cs="Calibri" w:eastAsia="Calibri" w:hAnsi="Calibri"/>
                <w:b/>
                <w:bCs/>
                <w:sz w:val="20"/>
                <w:szCs w:val="20"/>
              </w:rPr>
              <w:t xml:space="preserve">Betrag</w:t>
            </w:r>
          </w:p>
        </w:tc>
      </w:tr>
      <w:tr>
        <w:tc>
          <w:tcPr>
            <w:tcW w:type="dxa" w:w="5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Streitwert Feststellungsklage (Unterlassung)</w:t>
            </w:r>
          </w:p>
        </w:tc>
        <w:tc>
          <w:tcPr>
            <w:tcW w:type="dxa" w:w="4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10.000,00 EUR</w:t>
            </w:r>
          </w:p>
        </w:tc>
      </w:tr>
      <w:tr>
        <w:tc>
          <w:tcPr>
            <w:tcW w:type="dxa" w:w="5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Streitwert Feststellungsklage (Zahlungsanspruch)</w:t>
            </w:r>
          </w:p>
        </w:tc>
        <w:tc>
          <w:tcPr>
            <w:tcW w:type="dxa" w:w="4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2.145,00 EUR</w:t>
            </w:r>
          </w:p>
        </w:tc>
      </w:tr>
      <w:tr>
        <w:tc>
          <w:tcPr>
            <w:tcW w:type="dxa" w:w="5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Gesamtstreitwert</w:t>
            </w:r>
          </w:p>
        </w:tc>
        <w:tc>
          <w:tcPr>
            <w:tcW w:type="dxa" w:w="4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12.145,00 EUR</w:t>
            </w:r>
          </w:p>
        </w:tc>
      </w:tr>
      <w:tr>
        <w:tc>
          <w:tcPr>
            <w:tcW w:type="dxa" w:w="5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Gerichtskosten (3 × GKG bei Streitwert 12.145 EUR)</w:t>
            </w:r>
          </w:p>
        </w:tc>
        <w:tc>
          <w:tcPr>
            <w:tcW w:type="dxa" w:w="4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678,00 EUR</w:t>
            </w:r>
          </w:p>
        </w:tc>
      </w:tr>
    </w:tbl>
    <w:p>
      <w:pPr>
        <w:spacing w:after="100" w:before="400"/>
      </w:pPr>
    </w:p>
    <w:p>
      <w:pPr>
        <w:spacing w:after="100" w:before="100"/>
        <w:jc w:val="left"/>
      </w:pPr>
      <w:r>
        <w:rPr>
          <w:rFonts w:ascii="Calibri" w:cs="Calibri" w:eastAsia="Calibri" w:hAnsi="Calibri"/>
          <w:sz w:val="22"/>
          <w:szCs w:val="22"/>
        </w:rPr>
        <w:t xml:space="preserve">Hamburg, den 28.01.2026</w:t>
      </w:r>
    </w:p>
    <w:p>
      <w:pPr>
        <w:spacing w:after="100" w:before="400"/>
      </w:pPr>
    </w:p>
    <w:p>
      <w:pPr>
        <w:spacing w:after="100" w:before="100"/>
        <w:jc w:val="left"/>
      </w:pPr>
      <w:r>
        <w:rPr>
          <w:rFonts w:ascii="Calibri" w:cs="Calibri" w:eastAsia="Calibri" w:hAnsi="Calibri"/>
          <w:sz w:val="22"/>
          <w:szCs w:val="22"/>
        </w:rPr>
        <w:t xml:space="preserve">_____________________________</w:t>
      </w:r>
    </w:p>
    <w:p>
      <w:pPr>
        <w:spacing w:after="100" w:before="100"/>
        <w:jc w:val="left"/>
      </w:pPr>
      <w:r>
        <w:rPr>
          <w:rFonts w:ascii="Calibri" w:cs="Calibri" w:eastAsia="Calibri" w:hAnsi="Calibri"/>
          <w:sz w:val="22"/>
          <w:szCs w:val="22"/>
        </w:rPr>
        <w:t xml:space="preserve">Dr. Antonia Kreidler-Bremer</w:t>
      </w:r>
    </w:p>
    <w:p>
      <w:pPr>
        <w:spacing w:after="100" w:before="100"/>
        <w:jc w:val="left"/>
      </w:pPr>
      <w:r>
        <w:rPr>
          <w:rFonts w:ascii="Calibri" w:cs="Calibri" w:eastAsia="Calibri" w:hAnsi="Calibri"/>
          <w:sz w:val="22"/>
          <w:szCs w:val="22"/>
        </w:rPr>
        <w:t xml:space="preserve">Fachanwältin für Urheber- und Medienrecht</w:t>
      </w:r>
    </w:p>
    <w:p>
      <w:pPr>
        <w:spacing w:after="100" w:before="100"/>
        <w:jc w:val="left"/>
      </w:pPr>
      <w:r>
        <w:rPr>
          <w:rFonts w:ascii="Calibri" w:cs="Calibri" w:eastAsia="Calibri" w:hAnsi="Calibri"/>
          <w:sz w:val="22"/>
          <w:szCs w:val="22"/>
        </w:rPr>
        <w:t xml:space="preserve">Kanzlei Kreidler-Bremer Medienrecht, Hamburg</w:t>
      </w:r>
    </w:p>
    <w:sectPr>
      <w:headerReference w:type="default" r:id="rId7"/>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Calibri" w:cs="Calibri" w:eastAsia="Calibri" w:hAnsi="Calibri"/>
        <w:color w:val="666666"/>
        <w:sz w:val="18"/>
        <w:szCs w:val="18"/>
      </w:rPr>
      <w:t xml:space="preserve">Kanzlei Kreidler-Bremer Medienrecht — Hamburg</w:t>
    </w:r>
    <w:r>
      <w:rPr>
        <w:rFonts w:ascii="Calibri" w:cs="Calibri" w:eastAsia="Calibri" w:hAnsi="Calibri"/>
        <w:color w:val="666666"/>
        <w:sz w:val="18"/>
        <w:szCs w:val="18"/>
      </w:rPr>
      <w:t xml:space="preserve">   |   AZ 26-UMR-0084 / AG München 155 C 18801/26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2026-05-30T15:55:49.704Z</dcterms:created>
  <dcterms:modified xsi:type="dcterms:W3CDTF">2026-05-30T15:55:49.704Z</dcterms:modified>
</cp:coreProperties>
</file>

<file path=docProps/custom.xml><?xml version="1.0" encoding="utf-8"?>
<Properties xmlns="http://schemas.openxmlformats.org/officeDocument/2006/custom-properties" xmlns:vt="http://schemas.openxmlformats.org/officeDocument/2006/docPropsVTypes"/>
</file>