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pPr>
      <w:r>
        <w:br/>
        <w:t xml:space="preserve"/>
      </w:r>
    </w:p>
    <w:p>
      <w:pPr>
        <w:spacing w:after="240"/>
        <w:jc w:val="center"/>
      </w:pPr>
      <w:r>
        <w:rPr>
          <w:rFonts w:ascii="Calibri" w:cs="Calibri" w:eastAsia="Calibri" w:hAnsi="Calibri"/>
          <w:b/>
          <w:bCs/>
          <w:color w:val="1B474D"/>
          <w:sz w:val="52"/>
          <w:szCs w:val="52"/>
        </w:rPr>
        <w:t xml:space="preserve">GUTACHTEN</w:t>
      </w:r>
    </w:p>
    <w:p>
      <w:pPr>
        <w:spacing w:after="160"/>
        <w:jc w:val="center"/>
      </w:pPr>
      <w:r>
        <w:rPr>
          <w:rFonts w:ascii="Calibri" w:cs="Calibri" w:eastAsia="Calibri" w:hAnsi="Calibri"/>
          <w:b/>
          <w:bCs/>
          <w:sz w:val="36"/>
          <w:szCs w:val="36"/>
        </w:rPr>
        <w:t xml:space="preserve">Konformitätsprüfung MedAssist v4</w:t>
      </w:r>
    </w:p>
    <w:p>
      <w:pPr>
        <w:spacing w:after="480"/>
        <w:jc w:val="center"/>
      </w:pPr>
      <w:r>
        <w:rPr>
          <w:rFonts w:ascii="Calibri" w:cs="Calibri" w:eastAsia="Calibri" w:hAnsi="Calibri"/>
          <w:sz w:val="28"/>
          <w:szCs w:val="28"/>
        </w:rPr>
        <w:t xml:space="preserve">nach Verordnung (EU) 2024/1689 (KI-VO)</w:t>
      </w:r>
    </w:p>
    <w:p>
      <w:pPr>
        <w:spacing w:after="120"/>
        <w:jc w:val="center"/>
      </w:pPr>
      <w:r>
        <w:rPr>
          <w:rFonts w:ascii="Calibri" w:cs="Calibri" w:eastAsia="Calibri" w:hAnsi="Calibri"/>
          <w:sz w:val="22"/>
          <w:szCs w:val="22"/>
        </w:rPr>
        <w:t xml:space="preserve">Auftraggeber: MedAssist AI GmbH, Heidelberg</w:t>
      </w:r>
    </w:p>
    <w:p>
      <w:pPr>
        <w:spacing w:after="120"/>
        <w:jc w:val="center"/>
      </w:pPr>
      <w:r>
        <w:rPr>
          <w:rFonts w:ascii="Calibri" w:cs="Calibri" w:eastAsia="Calibri" w:hAnsi="Calibri"/>
          <w:sz w:val="22"/>
          <w:szCs w:val="22"/>
        </w:rPr>
        <w:t xml:space="preserve">Kanzlei Vellbruck &amp; Partner mbB, Heidelberg</w:t>
      </w:r>
    </w:p>
    <w:p>
      <w:pPr>
        <w:spacing w:after="480"/>
        <w:jc w:val="center"/>
      </w:pPr>
      <w:r>
        <w:rPr>
          <w:rFonts w:ascii="Calibri" w:cs="Calibri" w:eastAsia="Calibri" w:hAnsi="Calibri"/>
          <w:i/>
          <w:iCs/>
          <w:sz w:val="22"/>
          <w:szCs w:val="22"/>
        </w:rPr>
        <w:t xml:space="preserve">Az. 2026-V-0427 | Stand: 30.06.2026 | Vertraulich</w:t>
      </w:r>
    </w:p>
    <w:p>
      <w:pPr>
        <w:jc w:val="center"/>
      </w:pPr>
      <w:r>
        <w:rPr>
          <w:rFonts w:ascii="Calibri" w:cs="Calibri" w:eastAsia="Calibri" w:hAnsi="Calibri"/>
          <w:sz w:val="20"/>
          <w:szCs w:val="20"/>
        </w:rPr>
        <w:t xml:space="preserve">RAin Dr. Henrietta Vellbruck-Steinheim (federführend)</w:t>
      </w:r>
    </w:p>
    <w:p>
      <w:pPr>
        <w:jc w:val="center"/>
      </w:pPr>
      <w:r>
        <w:rPr>
          <w:rFonts w:ascii="Calibri" w:cs="Calibri" w:eastAsia="Calibri" w:hAnsi="Calibri"/>
          <w:sz w:val="20"/>
          <w:szCs w:val="20"/>
        </w:rPr>
        <w:t xml:space="preserve">RA Dr. Mark Roosendaal</w:t>
      </w:r>
    </w:p>
    <w:p>
      <w:r>
        <w:br w:type="page"/>
      </w:r>
    </w:p>
    <w:p>
      <w:pPr>
        <w:pStyle w:val="Heading1"/>
        <w:spacing w:after="160" w:before="320"/>
      </w:pPr>
      <w:r>
        <w:t xml:space="preserve">1. Gegenstand und Auftrag</w:t>
      </w:r>
    </w:p>
    <w:p>
      <w:pPr>
        <w:spacing w:after="120"/>
      </w:pPr>
      <w:r>
        <w:rPr>
          <w:rFonts w:ascii="Calibri" w:cs="Calibri" w:eastAsia="Calibri" w:hAnsi="Calibri"/>
          <w:sz w:val="22"/>
          <w:szCs w:val="22"/>
        </w:rPr>
        <w:t xml:space="preserve">Die Kanzlei Vellbruck &amp; Partner mbB wurde am 03.03.2026 durch die MedAssist AI GmbH, Im Neuenheimer Feld 580, 69120 Heidelberg (nachfolgend: Mandantin), mandatiert, eine vollständige rechtliche Konformitätsprüfung des KI-Systems MedAssist v4 nach der Verordnung (EU) 2024/1689 (KI-VO) durchzuführen. Das Mandat umfasst die Prüfung der Artikel 6, 9–15, 16, 43, 47–49 und 113 KI-VO sowie der Schnittstellen zur MDR (EU) 2017/745, zur DSGVO und zu laufenden Behördenverfahren bei BNetzA (Az. 1-101.05-2026/MA-008), BfDI (Az. 13-3120/004#0117) und BfArM (Az. MED-AI-2026-0319).</w:t>
      </w:r>
    </w:p>
    <w:p>
      <w:pPr>
        <w:spacing w:after="120"/>
      </w:pPr>
      <w:r>
        <w:rPr>
          <w:rFonts w:ascii="Calibri" w:cs="Calibri" w:eastAsia="Calibri" w:hAnsi="Calibri"/>
          <w:sz w:val="22"/>
          <w:szCs w:val="22"/>
        </w:rPr>
        <w:t xml:space="preserve">Dieses Gutachten fasst die Ergebnisse der Prüfung zusammen und richtet sich an den Vorstand der Mandantin sowie die beteiligten Behörden.</w:t>
      </w:r>
    </w:p>
    <w:p>
      <w:pPr>
        <w:pStyle w:val="Heading2"/>
        <w:spacing w:after="120" w:before="240"/>
      </w:pPr>
      <w:r>
        <w:t xml:space="preserve">1.1 Das geprüfte KI-System</w:t>
      </w:r>
    </w:p>
    <w:p>
      <w:pPr>
        <w:spacing w:after="120"/>
      </w:pPr>
      <w:r>
        <w:rPr>
          <w:rFonts w:ascii="Calibri" w:cs="Calibri" w:eastAsia="Calibri" w:hAnsi="Calibri"/>
          <w:sz w:val="22"/>
          <w:szCs w:val="22"/>
        </w:rPr>
        <w:t xml:space="preserve">MedAssist v4 (Version 4.2.3) ist ein KI-System zur automatisierten Notrufdisposition in Krankenhäusern. Es verarbeitet eingehende Notrufe in Echtzeit (Sprachtranskription durch eine Llama-3.1-70B-Adaptation), klassifiziert Dringlichkeitsstufen (1–5) und schlägt Ressourcenzuweisungen vor. Das System ist in 18 Krankenhäusern in Baden-Württemberg (12) und Bayern (6) im Produktivbetrieb.</w:t>
      </w:r>
    </w:p>
    <w:p>
      <w:pPr>
        <w:spacing w:after="120"/>
      </w:pPr>
      <w:r>
        <w:rPr>
          <w:rFonts w:ascii="Calibri" w:cs="Calibri" w:eastAsia="Calibri" w:hAnsi="Calibri"/>
          <w:sz w:val="22"/>
          <w:szCs w:val="22"/>
        </w:rPr>
        <w:t xml:space="preserve">MedAssist v4 ist zugleich als Medizinprodukt Klasse IIb nach MDR (EU) 2017/745 zertifiziert (NB TÜV SÜD Product Service GmbH, NB 0123; BfArM-Bescheid MED-AI-2026-0319 vom 12.01.2026).</w:t>
      </w:r>
    </w:p>
    <w:p>
      <w:r>
        <w:br w:type="page"/>
      </w:r>
    </w:p>
    <w:p>
      <w:pPr>
        <w:pStyle w:val="Heading1"/>
        <w:spacing w:after="160" w:before="320"/>
      </w:pPr>
      <w:r>
        <w:t xml:space="preserve">2. Rechtlicher Rahmen</w:t>
      </w:r>
    </w:p>
    <w:p>
      <w:pPr>
        <w:pStyle w:val="Heading2"/>
        <w:spacing w:after="120" w:before="240"/>
      </w:pPr>
      <w:r>
        <w:t xml:space="preserve">2.1 KI-VO (EU) 2024/1689</w:t>
      </w:r>
    </w:p>
    <w:p>
      <w:pPr>
        <w:spacing w:after="120"/>
      </w:pPr>
      <w:r>
        <w:rPr>
          <w:rFonts w:ascii="Calibri" w:cs="Calibri" w:eastAsia="Calibri" w:hAnsi="Calibri"/>
          <w:sz w:val="22"/>
          <w:szCs w:val="22"/>
        </w:rPr>
        <w:t xml:space="preserve">Die Verordnung (EU) 2024/1689 des Europäischen Parlaments und des Rates vom 13. Juni 2024 zur Festlegung harmonisierter Vorschriften für künstliche Intelligenz (KI-Verordnung) ist am 01.08.2024 in Kraft getreten. Für Hochrisiko-KI-Systeme nach Anhang III gilt die Übergangsfrist des Art. 113 Abs. 1 KI-VO: Diese Systeme müssen bis 02.08.2026 vollständig konform sein.</w:t>
      </w:r>
    </w:p>
    <w:p>
      <w:pPr>
        <w:spacing w:after="120"/>
      </w:pPr>
      <w:r>
        <w:rPr>
          <w:rFonts w:ascii="Calibri" w:cs="Calibri" w:eastAsia="Calibri" w:hAnsi="Calibri"/>
          <w:sz w:val="22"/>
          <w:szCs w:val="22"/>
        </w:rPr>
        <w:t xml:space="preserve">Hochrisiko-KI-Systeme nach Art. 6 Abs. 2 KI-VO i.V.m. Anhang III unterliegen den Pflichten der Art. 9–15 (technische Anforderungen), Art. 16–17 (Anbieterpflichten), Art. 43 (Konformitätsbewertung), Art. 47–49 (Erklärung, CE, Registrierung).</w:t>
      </w:r>
    </w:p>
    <w:p>
      <w:pPr>
        <w:pStyle w:val="Heading2"/>
        <w:spacing w:after="120" w:before="240"/>
      </w:pPr>
      <w:r>
        <w:t xml:space="preserve">2.2 MDR (EU) 2017/745</w:t>
      </w:r>
    </w:p>
    <w:p>
      <w:pPr>
        <w:spacing w:after="120"/>
      </w:pPr>
      <w:r>
        <w:rPr>
          <w:rFonts w:ascii="Calibri" w:cs="Calibri" w:eastAsia="Calibri" w:hAnsi="Calibri"/>
          <w:sz w:val="22"/>
          <w:szCs w:val="22"/>
        </w:rPr>
        <w:t xml:space="preserve">Die MDR gilt parallel zur KI-VO. Art. 8 KI-VO stellt klar, dass sektorspezifische Rechtsvorschriften — einschließlich MDR — durch die KI-VO unberührt bleiben, soweit sie höhere Schutzstandards normieren. Beide Regimes bestehen kumulativ; die MDR-Konformität ersetzt nicht die KI-VO-Konformität.</w:t>
      </w:r>
    </w:p>
    <w:p>
      <w:pPr>
        <w:pStyle w:val="Heading2"/>
        <w:spacing w:after="120" w:before="240"/>
      </w:pPr>
      <w:r>
        <w:t xml:space="preserve">2.3 DSGVO</w:t>
      </w:r>
    </w:p>
    <w:p>
      <w:pPr>
        <w:spacing w:after="120"/>
      </w:pPr>
      <w:r>
        <w:rPr>
          <w:rFonts w:ascii="Calibri" w:cs="Calibri" w:eastAsia="Calibri" w:hAnsi="Calibri"/>
          <w:sz w:val="22"/>
          <w:szCs w:val="22"/>
        </w:rPr>
        <w:t xml:space="preserve">Bei der Verarbeitung von Gesundheitsdaten (besondere Kategorien nach Art. 9 Abs. 1 DSGVO) sind die Anforderungen der DSGVO zu wahren, insbesondere Art. 9 (Rechtsgrundlage), Art. 22 (automatisierte Entscheidungen) und Art. 35 (Datenschutz-Folgenabschätzung).</w:t>
      </w:r>
    </w:p>
    <w:p>
      <w:r>
        <w:br w:type="page"/>
      </w:r>
    </w:p>
    <w:p>
      <w:pPr>
        <w:pStyle w:val="Heading1"/>
        <w:spacing w:after="160" w:before="320"/>
      </w:pPr>
      <w:r>
        <w:t xml:space="preserve">3. Einstufung MedAssist v4</w:t>
      </w:r>
    </w:p>
    <w:p>
      <w:pPr>
        <w:spacing w:after="120"/>
      </w:pPr>
      <w:r>
        <w:rPr>
          <w:rFonts w:ascii="Calibri" w:cs="Calibri" w:eastAsia="Calibri" w:hAnsi="Calibri"/>
          <w:sz w:val="22"/>
          <w:szCs w:val="22"/>
        </w:rPr>
        <w:t xml:space="preserve">MedAssist v4 ist eindeutig als Hochrisiko-KI-System nach Art. 6 Abs. 2 KI-VO i.V.m. Anhang III Nr. 7 KI-VO einzustufen. Anhang III Nr. 7 erfasst KI-Systeme für den Einsatz in Notfalldiensten und für erste Reaktion auf Notfälle. Die Notrufdisposition in Krankenhäusern ist ein Kernbereich dieser Kategorie. Ausnahmetatbestände nach Art. 6 Abs. 3 KI-VO greifen nicht.</w:t>
      </w:r>
    </w:p>
    <w:p>
      <w:pPr>
        <w:spacing w:after="120"/>
      </w:pPr>
      <w:r>
        <w:rPr>
          <w:rFonts w:ascii="Calibri" w:cs="Calibri" w:eastAsia="Calibri" w:hAnsi="Calibri"/>
          <w:sz w:val="22"/>
          <w:szCs w:val="22"/>
        </w:rPr>
        <w:t xml:space="preserve">Die Einstufung als Medizinprodukt Klasse IIb (MDR) ist durch BfArM-Bescheid bestätigt. MedAssist v4 unterliegt damit doppelter Regulierung.</w:t>
      </w:r>
    </w:p>
    <w:p>
      <w:r>
        <w:br w:type="page"/>
      </w:r>
    </w:p>
    <w:p>
      <w:pPr>
        <w:pStyle w:val="Heading1"/>
        <w:spacing w:after="160" w:before="320"/>
      </w:pPr>
      <w:r>
        <w:t xml:space="preserve">4. Prüfungsergebnisse im Überblick</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shd w:color="1B474D" w:val="solid"/>
          </w:tcPr>
          <w:p>
            <w:pPr>
              <w:spacing w:after="60"/>
            </w:pPr>
            <w:r>
              <w:rPr>
                <w:rFonts w:ascii="Calibri" w:cs="Calibri" w:eastAsia="Calibri" w:hAnsi="Calibri"/>
                <w:b/>
                <w:bCs/>
                <w:color w:val="FFFFFF"/>
                <w:sz w:val="18"/>
                <w:szCs w:val="18"/>
              </w:rPr>
              <w:t xml:space="preserve">Artikel</w:t>
            </w:r>
          </w:p>
        </w:tc>
        <w:tc>
          <w:tcPr>
            <w:shd w:color="1B474D" w:val="solid"/>
          </w:tcPr>
          <w:p>
            <w:pPr>
              <w:spacing w:after="60"/>
            </w:pPr>
            <w:r>
              <w:rPr>
                <w:rFonts w:ascii="Calibri" w:cs="Calibri" w:eastAsia="Calibri" w:hAnsi="Calibri"/>
                <w:b/>
                <w:bCs/>
                <w:color w:val="FFFFFF"/>
                <w:sz w:val="18"/>
                <w:szCs w:val="18"/>
              </w:rPr>
              <w:t xml:space="preserve">Anforderung</w:t>
            </w:r>
          </w:p>
        </w:tc>
        <w:tc>
          <w:tcPr>
            <w:shd w:color="1B474D" w:val="solid"/>
          </w:tcPr>
          <w:p>
            <w:pPr>
              <w:spacing w:after="60"/>
            </w:pPr>
            <w:r>
              <w:rPr>
                <w:rFonts w:ascii="Calibri" w:cs="Calibri" w:eastAsia="Calibri" w:hAnsi="Calibri"/>
                <w:b/>
                <w:bCs/>
                <w:color w:val="FFFFFF"/>
                <w:sz w:val="18"/>
                <w:szCs w:val="18"/>
              </w:rPr>
              <w:t xml:space="preserve">Befund</w:t>
            </w:r>
          </w:p>
        </w:tc>
        <w:tc>
          <w:tcPr>
            <w:shd w:color="1B474D" w:val="solid"/>
          </w:tcPr>
          <w:p>
            <w:pPr>
              <w:spacing w:after="60"/>
            </w:pPr>
            <w:r>
              <w:rPr>
                <w:rFonts w:ascii="Calibri" w:cs="Calibri" w:eastAsia="Calibri" w:hAnsi="Calibri"/>
                <w:b/>
                <w:bCs/>
                <w:color w:val="FFFFFF"/>
                <w:sz w:val="18"/>
                <w:szCs w:val="18"/>
              </w:rPr>
              <w:t xml:space="preserve">Risiko</w:t>
            </w:r>
          </w:p>
        </w:tc>
      </w:tr>
      <w:tr>
        <w:tc>
          <w:tcPr>
            <w:shd/>
          </w:tcPr>
          <w:p>
            <w:pPr>
              <w:spacing w:after="60"/>
            </w:pPr>
            <w:r>
              <w:rPr>
                <w:rFonts w:ascii="Calibri" w:cs="Calibri" w:eastAsia="Calibri" w:hAnsi="Calibri"/>
                <w:b w:val="false"/>
                <w:bCs w:val="false"/>
                <w:color w:val="000000"/>
                <w:sz w:val="18"/>
                <w:szCs w:val="18"/>
              </w:rPr>
              <w:t xml:space="preserve">Art. 9</w:t>
            </w:r>
          </w:p>
        </w:tc>
        <w:tc>
          <w:tcPr>
            <w:shd/>
          </w:tcPr>
          <w:p>
            <w:pPr>
              <w:spacing w:after="60"/>
            </w:pPr>
            <w:r>
              <w:rPr>
                <w:rFonts w:ascii="Calibri" w:cs="Calibri" w:eastAsia="Calibri" w:hAnsi="Calibri"/>
                <w:b w:val="false"/>
                <w:bCs w:val="false"/>
                <w:color w:val="000000"/>
                <w:sz w:val="18"/>
                <w:szCs w:val="18"/>
              </w:rPr>
              <w:t xml:space="preserve">Risikomanagementsystem</w:t>
            </w:r>
          </w:p>
        </w:tc>
        <w:tc>
          <w:tcPr>
            <w:shd/>
          </w:tcPr>
          <w:p>
            <w:pPr>
              <w:spacing w:after="60"/>
            </w:pPr>
            <w:r>
              <w:rPr>
                <w:rFonts w:ascii="Calibri" w:cs="Calibri" w:eastAsia="Calibri" w:hAnsi="Calibri"/>
                <w:b w:val="false"/>
                <w:bCs w:val="false"/>
                <w:color w:val="000000"/>
                <w:sz w:val="18"/>
                <w:szCs w:val="18"/>
              </w:rPr>
              <w:t xml:space="preserve">Nicht konform</w:t>
            </w:r>
          </w:p>
        </w:tc>
        <w:tc>
          <w:tcPr>
            <w:shd/>
          </w:tcPr>
          <w:p>
            <w:pPr>
              <w:spacing w:after="60"/>
            </w:pPr>
            <w:r>
              <w:rPr>
                <w:rFonts w:ascii="Calibri" w:cs="Calibri" w:eastAsia="Calibri" w:hAnsi="Calibri"/>
                <w:b w:val="false"/>
                <w:bCs w:val="false"/>
                <w:color w:val="000000"/>
                <w:sz w:val="18"/>
                <w:szCs w:val="18"/>
              </w:rPr>
              <w:t xml:space="preserve">Kritisch</w:t>
            </w:r>
          </w:p>
        </w:tc>
      </w:tr>
      <w:tr>
        <w:tc>
          <w:tcPr>
            <w:shd/>
          </w:tcPr>
          <w:p>
            <w:pPr>
              <w:spacing w:after="60"/>
            </w:pPr>
            <w:r>
              <w:rPr>
                <w:rFonts w:ascii="Calibri" w:cs="Calibri" w:eastAsia="Calibri" w:hAnsi="Calibri"/>
                <w:b w:val="false"/>
                <w:bCs w:val="false"/>
                <w:color w:val="000000"/>
                <w:sz w:val="18"/>
                <w:szCs w:val="18"/>
              </w:rPr>
              <w:t xml:space="preserve">Art. 10</w:t>
            </w:r>
          </w:p>
        </w:tc>
        <w:tc>
          <w:tcPr>
            <w:shd/>
          </w:tcPr>
          <w:p>
            <w:pPr>
              <w:spacing w:after="60"/>
            </w:pPr>
            <w:r>
              <w:rPr>
                <w:rFonts w:ascii="Calibri" w:cs="Calibri" w:eastAsia="Calibri" w:hAnsi="Calibri"/>
                <w:b w:val="false"/>
                <w:bCs w:val="false"/>
                <w:color w:val="000000"/>
                <w:sz w:val="18"/>
                <w:szCs w:val="18"/>
              </w:rPr>
              <w:t xml:space="preserve">Daten-Governance / Trainingsdaten</w:t>
            </w:r>
          </w:p>
        </w:tc>
        <w:tc>
          <w:tcPr>
            <w:shd/>
          </w:tcPr>
          <w:p>
            <w:pPr>
              <w:spacing w:after="60"/>
            </w:pPr>
            <w:r>
              <w:rPr>
                <w:rFonts w:ascii="Calibri" w:cs="Calibri" w:eastAsia="Calibri" w:hAnsi="Calibri"/>
                <w:b w:val="false"/>
                <w:bCs w:val="false"/>
                <w:color w:val="000000"/>
                <w:sz w:val="18"/>
                <w:szCs w:val="18"/>
              </w:rPr>
              <w:t xml:space="preserve">Nicht konform</w:t>
            </w:r>
          </w:p>
        </w:tc>
        <w:tc>
          <w:tcPr>
            <w:shd/>
          </w:tcPr>
          <w:p>
            <w:pPr>
              <w:spacing w:after="60"/>
            </w:pPr>
            <w:r>
              <w:rPr>
                <w:rFonts w:ascii="Calibri" w:cs="Calibri" w:eastAsia="Calibri" w:hAnsi="Calibri"/>
                <w:b w:val="false"/>
                <w:bCs w:val="false"/>
                <w:color w:val="000000"/>
                <w:sz w:val="18"/>
                <w:szCs w:val="18"/>
              </w:rPr>
              <w:t xml:space="preserve">Kritisch</w:t>
            </w:r>
          </w:p>
        </w:tc>
      </w:tr>
      <w:tr>
        <w:tc>
          <w:tcPr>
            <w:shd/>
          </w:tcPr>
          <w:p>
            <w:pPr>
              <w:spacing w:after="60"/>
            </w:pPr>
            <w:r>
              <w:rPr>
                <w:rFonts w:ascii="Calibri" w:cs="Calibri" w:eastAsia="Calibri" w:hAnsi="Calibri"/>
                <w:b w:val="false"/>
                <w:bCs w:val="false"/>
                <w:color w:val="000000"/>
                <w:sz w:val="18"/>
                <w:szCs w:val="18"/>
              </w:rPr>
              <w:t xml:space="preserve">Art. 11</w:t>
            </w:r>
          </w:p>
        </w:tc>
        <w:tc>
          <w:tcPr>
            <w:shd/>
          </w:tcPr>
          <w:p>
            <w:pPr>
              <w:spacing w:after="60"/>
            </w:pPr>
            <w:r>
              <w:rPr>
                <w:rFonts w:ascii="Calibri" w:cs="Calibri" w:eastAsia="Calibri" w:hAnsi="Calibri"/>
                <w:b w:val="false"/>
                <w:bCs w:val="false"/>
                <w:color w:val="000000"/>
                <w:sz w:val="18"/>
                <w:szCs w:val="18"/>
              </w:rPr>
              <w:t xml:space="preserve">Technische Dokumentation (Anhang IV)</w:t>
            </w:r>
          </w:p>
        </w:tc>
        <w:tc>
          <w:tcPr>
            <w:shd/>
          </w:tcPr>
          <w:p>
            <w:pPr>
              <w:spacing w:after="60"/>
            </w:pPr>
            <w:r>
              <w:rPr>
                <w:rFonts w:ascii="Calibri" w:cs="Calibri" w:eastAsia="Calibri" w:hAnsi="Calibri"/>
                <w:b w:val="false"/>
                <w:bCs w:val="false"/>
                <w:color w:val="000000"/>
                <w:sz w:val="18"/>
                <w:szCs w:val="18"/>
              </w:rPr>
              <w:t xml:space="preserve">Nicht konform</w:t>
            </w:r>
          </w:p>
        </w:tc>
        <w:tc>
          <w:tcPr>
            <w:shd/>
          </w:tcPr>
          <w:p>
            <w:pPr>
              <w:spacing w:after="60"/>
            </w:pPr>
            <w:r>
              <w:rPr>
                <w:rFonts w:ascii="Calibri" w:cs="Calibri" w:eastAsia="Calibri" w:hAnsi="Calibri"/>
                <w:b w:val="false"/>
                <w:bCs w:val="false"/>
                <w:color w:val="000000"/>
                <w:sz w:val="18"/>
                <w:szCs w:val="18"/>
              </w:rPr>
              <w:t xml:space="preserve">Kritisch</w:t>
            </w:r>
          </w:p>
        </w:tc>
      </w:tr>
      <w:tr>
        <w:tc>
          <w:tcPr>
            <w:shd/>
          </w:tcPr>
          <w:p>
            <w:pPr>
              <w:spacing w:after="60"/>
            </w:pPr>
            <w:r>
              <w:rPr>
                <w:rFonts w:ascii="Calibri" w:cs="Calibri" w:eastAsia="Calibri" w:hAnsi="Calibri"/>
                <w:b w:val="false"/>
                <w:bCs w:val="false"/>
                <w:color w:val="000000"/>
                <w:sz w:val="18"/>
                <w:szCs w:val="18"/>
              </w:rPr>
              <w:t xml:space="preserve">Art. 12</w:t>
            </w:r>
          </w:p>
        </w:tc>
        <w:tc>
          <w:tcPr>
            <w:shd/>
          </w:tcPr>
          <w:p>
            <w:pPr>
              <w:spacing w:after="60"/>
            </w:pPr>
            <w:r>
              <w:rPr>
                <w:rFonts w:ascii="Calibri" w:cs="Calibri" w:eastAsia="Calibri" w:hAnsi="Calibri"/>
                <w:b w:val="false"/>
                <w:bCs w:val="false"/>
                <w:color w:val="000000"/>
                <w:sz w:val="18"/>
                <w:szCs w:val="18"/>
              </w:rPr>
              <w:t xml:space="preserve">Aufzeichnungspflichten / Logging</w:t>
            </w:r>
          </w:p>
        </w:tc>
        <w:tc>
          <w:tcPr>
            <w:shd/>
          </w:tcPr>
          <w:p>
            <w:pPr>
              <w:spacing w:after="60"/>
            </w:pPr>
            <w:r>
              <w:rPr>
                <w:rFonts w:ascii="Calibri" w:cs="Calibri" w:eastAsia="Calibri" w:hAnsi="Calibri"/>
                <w:b w:val="false"/>
                <w:bCs w:val="false"/>
                <w:color w:val="000000"/>
                <w:sz w:val="18"/>
                <w:szCs w:val="18"/>
              </w:rPr>
              <w:t xml:space="preserve">Teilweise konform</w:t>
            </w:r>
          </w:p>
        </w:tc>
        <w:tc>
          <w:tcPr>
            <w:shd/>
          </w:tcPr>
          <w:p>
            <w:pPr>
              <w:spacing w:after="60"/>
            </w:pPr>
            <w:r>
              <w:rPr>
                <w:rFonts w:ascii="Calibri" w:cs="Calibri" w:eastAsia="Calibri" w:hAnsi="Calibri"/>
                <w:b w:val="false"/>
                <w:bCs w:val="false"/>
                <w:color w:val="000000"/>
                <w:sz w:val="18"/>
                <w:szCs w:val="18"/>
              </w:rPr>
              <w:t xml:space="preserve">Hoch</w:t>
            </w:r>
          </w:p>
        </w:tc>
      </w:tr>
      <w:tr>
        <w:tc>
          <w:tcPr>
            <w:shd/>
          </w:tcPr>
          <w:p>
            <w:pPr>
              <w:spacing w:after="60"/>
            </w:pPr>
            <w:r>
              <w:rPr>
                <w:rFonts w:ascii="Calibri" w:cs="Calibri" w:eastAsia="Calibri" w:hAnsi="Calibri"/>
                <w:b w:val="false"/>
                <w:bCs w:val="false"/>
                <w:color w:val="000000"/>
                <w:sz w:val="18"/>
                <w:szCs w:val="18"/>
              </w:rPr>
              <w:t xml:space="preserve">Art. 13</w:t>
            </w:r>
          </w:p>
        </w:tc>
        <w:tc>
          <w:tcPr>
            <w:shd/>
          </w:tcPr>
          <w:p>
            <w:pPr>
              <w:spacing w:after="60"/>
            </w:pPr>
            <w:r>
              <w:rPr>
                <w:rFonts w:ascii="Calibri" w:cs="Calibri" w:eastAsia="Calibri" w:hAnsi="Calibri"/>
                <w:b w:val="false"/>
                <w:bCs w:val="false"/>
                <w:color w:val="000000"/>
                <w:sz w:val="18"/>
                <w:szCs w:val="18"/>
              </w:rPr>
              <w:t xml:space="preserve">Transparenz / Benutzerhandbuch</w:t>
            </w:r>
          </w:p>
        </w:tc>
        <w:tc>
          <w:tcPr>
            <w:shd/>
          </w:tcPr>
          <w:p>
            <w:pPr>
              <w:spacing w:after="60"/>
            </w:pPr>
            <w:r>
              <w:rPr>
                <w:rFonts w:ascii="Calibri" w:cs="Calibri" w:eastAsia="Calibri" w:hAnsi="Calibri"/>
                <w:b w:val="false"/>
                <w:bCs w:val="false"/>
                <w:color w:val="000000"/>
                <w:sz w:val="18"/>
                <w:szCs w:val="18"/>
              </w:rPr>
              <w:t xml:space="preserve">Teilweise konform</w:t>
            </w:r>
          </w:p>
        </w:tc>
        <w:tc>
          <w:tcPr>
            <w:shd/>
          </w:tcPr>
          <w:p>
            <w:pPr>
              <w:spacing w:after="60"/>
            </w:pPr>
            <w:r>
              <w:rPr>
                <w:rFonts w:ascii="Calibri" w:cs="Calibri" w:eastAsia="Calibri" w:hAnsi="Calibri"/>
                <w:b w:val="false"/>
                <w:bCs w:val="false"/>
                <w:color w:val="000000"/>
                <w:sz w:val="18"/>
                <w:szCs w:val="18"/>
              </w:rPr>
              <w:t xml:space="preserve">Hoch</w:t>
            </w:r>
          </w:p>
        </w:tc>
      </w:tr>
      <w:tr>
        <w:tc>
          <w:tcPr>
            <w:shd/>
          </w:tcPr>
          <w:p>
            <w:pPr>
              <w:spacing w:after="60"/>
            </w:pPr>
            <w:r>
              <w:rPr>
                <w:rFonts w:ascii="Calibri" w:cs="Calibri" w:eastAsia="Calibri" w:hAnsi="Calibri"/>
                <w:b w:val="false"/>
                <w:bCs w:val="false"/>
                <w:color w:val="000000"/>
                <w:sz w:val="18"/>
                <w:szCs w:val="18"/>
              </w:rPr>
              <w:t xml:space="preserve">Art. 14</w:t>
            </w:r>
          </w:p>
        </w:tc>
        <w:tc>
          <w:tcPr>
            <w:shd/>
          </w:tcPr>
          <w:p>
            <w:pPr>
              <w:spacing w:after="60"/>
            </w:pPr>
            <w:r>
              <w:rPr>
                <w:rFonts w:ascii="Calibri" w:cs="Calibri" w:eastAsia="Calibri" w:hAnsi="Calibri"/>
                <w:b w:val="false"/>
                <w:bCs w:val="false"/>
                <w:color w:val="000000"/>
                <w:sz w:val="18"/>
                <w:szCs w:val="18"/>
              </w:rPr>
              <w:t xml:space="preserve">Menschliche Aufsicht</w:t>
            </w:r>
          </w:p>
        </w:tc>
        <w:tc>
          <w:tcPr>
            <w:shd/>
          </w:tcPr>
          <w:p>
            <w:pPr>
              <w:spacing w:after="60"/>
            </w:pPr>
            <w:r>
              <w:rPr>
                <w:rFonts w:ascii="Calibri" w:cs="Calibri" w:eastAsia="Calibri" w:hAnsi="Calibri"/>
                <w:b w:val="false"/>
                <w:bCs w:val="false"/>
                <w:color w:val="000000"/>
                <w:sz w:val="18"/>
                <w:szCs w:val="18"/>
              </w:rPr>
              <w:t xml:space="preserve">Nicht konform (GRAVIEREND)</w:t>
            </w:r>
          </w:p>
        </w:tc>
        <w:tc>
          <w:tcPr>
            <w:shd/>
          </w:tcPr>
          <w:p>
            <w:pPr>
              <w:spacing w:after="60"/>
            </w:pPr>
            <w:r>
              <w:rPr>
                <w:rFonts w:ascii="Calibri" w:cs="Calibri" w:eastAsia="Calibri" w:hAnsi="Calibri"/>
                <w:b w:val="false"/>
                <w:bCs w:val="false"/>
                <w:color w:val="000000"/>
                <w:sz w:val="18"/>
                <w:szCs w:val="18"/>
              </w:rPr>
              <w:t xml:space="preserve">Kritisch</w:t>
            </w:r>
          </w:p>
        </w:tc>
      </w:tr>
      <w:tr>
        <w:tc>
          <w:tcPr>
            <w:shd/>
          </w:tcPr>
          <w:p>
            <w:pPr>
              <w:spacing w:after="60"/>
            </w:pPr>
            <w:r>
              <w:rPr>
                <w:rFonts w:ascii="Calibri" w:cs="Calibri" w:eastAsia="Calibri" w:hAnsi="Calibri"/>
                <w:b w:val="false"/>
                <w:bCs w:val="false"/>
                <w:color w:val="000000"/>
                <w:sz w:val="18"/>
                <w:szCs w:val="18"/>
              </w:rPr>
              <w:t xml:space="preserve">Art. 15</w:t>
            </w:r>
          </w:p>
        </w:tc>
        <w:tc>
          <w:tcPr>
            <w:shd/>
          </w:tcPr>
          <w:p>
            <w:pPr>
              <w:spacing w:after="60"/>
            </w:pPr>
            <w:r>
              <w:rPr>
                <w:rFonts w:ascii="Calibri" w:cs="Calibri" w:eastAsia="Calibri" w:hAnsi="Calibri"/>
                <w:b w:val="false"/>
                <w:bCs w:val="false"/>
                <w:color w:val="000000"/>
                <w:sz w:val="18"/>
                <w:szCs w:val="18"/>
              </w:rPr>
              <w:t xml:space="preserve">Genauigkeit / Robustheit / Cybersicherheit</w:t>
            </w:r>
          </w:p>
        </w:tc>
        <w:tc>
          <w:tcPr>
            <w:shd/>
          </w:tcPr>
          <w:p>
            <w:pPr>
              <w:spacing w:after="60"/>
            </w:pPr>
            <w:r>
              <w:rPr>
                <w:rFonts w:ascii="Calibri" w:cs="Calibri" w:eastAsia="Calibri" w:hAnsi="Calibri"/>
                <w:b w:val="false"/>
                <w:bCs w:val="false"/>
                <w:color w:val="000000"/>
                <w:sz w:val="18"/>
                <w:szCs w:val="18"/>
              </w:rPr>
              <w:t xml:space="preserve">Nicht konform</w:t>
            </w:r>
          </w:p>
        </w:tc>
        <w:tc>
          <w:tcPr>
            <w:shd/>
          </w:tcPr>
          <w:p>
            <w:pPr>
              <w:spacing w:after="60"/>
            </w:pPr>
            <w:r>
              <w:rPr>
                <w:rFonts w:ascii="Calibri" w:cs="Calibri" w:eastAsia="Calibri" w:hAnsi="Calibri"/>
                <w:b w:val="false"/>
                <w:bCs w:val="false"/>
                <w:color w:val="000000"/>
                <w:sz w:val="18"/>
                <w:szCs w:val="18"/>
              </w:rPr>
              <w:t xml:space="preserve">Hoch</w:t>
            </w:r>
          </w:p>
        </w:tc>
      </w:tr>
      <w:tr>
        <w:tc>
          <w:tcPr>
            <w:shd/>
          </w:tcPr>
          <w:p>
            <w:pPr>
              <w:spacing w:after="60"/>
            </w:pPr>
            <w:r>
              <w:rPr>
                <w:rFonts w:ascii="Calibri" w:cs="Calibri" w:eastAsia="Calibri" w:hAnsi="Calibri"/>
                <w:b w:val="false"/>
                <w:bCs w:val="false"/>
                <w:color w:val="000000"/>
                <w:sz w:val="18"/>
                <w:szCs w:val="18"/>
              </w:rPr>
              <w:t xml:space="preserve">Art. 16/17</w:t>
            </w:r>
          </w:p>
        </w:tc>
        <w:tc>
          <w:tcPr>
            <w:shd/>
          </w:tcPr>
          <w:p>
            <w:pPr>
              <w:spacing w:after="60"/>
            </w:pPr>
            <w:r>
              <w:rPr>
                <w:rFonts w:ascii="Calibri" w:cs="Calibri" w:eastAsia="Calibri" w:hAnsi="Calibri"/>
                <w:b w:val="false"/>
                <w:bCs w:val="false"/>
                <w:color w:val="000000"/>
                <w:sz w:val="18"/>
                <w:szCs w:val="18"/>
              </w:rPr>
              <w:t xml:space="preserve">Anbieterpflichten / QMS</w:t>
            </w:r>
          </w:p>
        </w:tc>
        <w:tc>
          <w:tcPr>
            <w:shd/>
          </w:tcPr>
          <w:p>
            <w:pPr>
              <w:spacing w:after="60"/>
            </w:pPr>
            <w:r>
              <w:rPr>
                <w:rFonts w:ascii="Calibri" w:cs="Calibri" w:eastAsia="Calibri" w:hAnsi="Calibri"/>
                <w:b w:val="false"/>
                <w:bCs w:val="false"/>
                <w:color w:val="000000"/>
                <w:sz w:val="18"/>
                <w:szCs w:val="18"/>
              </w:rPr>
              <w:t xml:space="preserve">Nicht konform</w:t>
            </w:r>
          </w:p>
        </w:tc>
        <w:tc>
          <w:tcPr>
            <w:shd/>
          </w:tcPr>
          <w:p>
            <w:pPr>
              <w:spacing w:after="60"/>
            </w:pPr>
            <w:r>
              <w:rPr>
                <w:rFonts w:ascii="Calibri" w:cs="Calibri" w:eastAsia="Calibri" w:hAnsi="Calibri"/>
                <w:b w:val="false"/>
                <w:bCs w:val="false"/>
                <w:color w:val="000000"/>
                <w:sz w:val="18"/>
                <w:szCs w:val="18"/>
              </w:rPr>
              <w:t xml:space="preserve">Hoch</w:t>
            </w:r>
          </w:p>
        </w:tc>
      </w:tr>
      <w:tr>
        <w:tc>
          <w:tcPr>
            <w:shd/>
          </w:tcPr>
          <w:p>
            <w:pPr>
              <w:spacing w:after="60"/>
            </w:pPr>
            <w:r>
              <w:rPr>
                <w:rFonts w:ascii="Calibri" w:cs="Calibri" w:eastAsia="Calibri" w:hAnsi="Calibri"/>
                <w:b w:val="false"/>
                <w:bCs w:val="false"/>
                <w:color w:val="000000"/>
                <w:sz w:val="18"/>
                <w:szCs w:val="18"/>
              </w:rPr>
              <w:t xml:space="preserve">Art. 43</w:t>
            </w:r>
          </w:p>
        </w:tc>
        <w:tc>
          <w:tcPr>
            <w:shd/>
          </w:tcPr>
          <w:p>
            <w:pPr>
              <w:spacing w:after="60"/>
            </w:pPr>
            <w:r>
              <w:rPr>
                <w:rFonts w:ascii="Calibri" w:cs="Calibri" w:eastAsia="Calibri" w:hAnsi="Calibri"/>
                <w:b w:val="false"/>
                <w:bCs w:val="false"/>
                <w:color w:val="000000"/>
                <w:sz w:val="18"/>
                <w:szCs w:val="18"/>
              </w:rPr>
              <w:t xml:space="preserve">Konformitätsbewertung (NB)</w:t>
            </w:r>
          </w:p>
        </w:tc>
        <w:tc>
          <w:tcPr>
            <w:shd/>
          </w:tcPr>
          <w:p>
            <w:pPr>
              <w:spacing w:after="60"/>
            </w:pPr>
            <w:r>
              <w:rPr>
                <w:rFonts w:ascii="Calibri" w:cs="Calibri" w:eastAsia="Calibri" w:hAnsi="Calibri"/>
                <w:b w:val="false"/>
                <w:bCs w:val="false"/>
                <w:color w:val="000000"/>
                <w:sz w:val="18"/>
                <w:szCs w:val="18"/>
              </w:rPr>
              <w:t xml:space="preserve">Nicht begonnen</w:t>
            </w:r>
          </w:p>
        </w:tc>
        <w:tc>
          <w:tcPr>
            <w:shd/>
          </w:tcPr>
          <w:p>
            <w:pPr>
              <w:spacing w:after="60"/>
            </w:pPr>
            <w:r>
              <w:rPr>
                <w:rFonts w:ascii="Calibri" w:cs="Calibri" w:eastAsia="Calibri" w:hAnsi="Calibri"/>
                <w:b w:val="false"/>
                <w:bCs w:val="false"/>
                <w:color w:val="000000"/>
                <w:sz w:val="18"/>
                <w:szCs w:val="18"/>
              </w:rPr>
              <w:t xml:space="preserve">Kritisch</w:t>
            </w:r>
          </w:p>
        </w:tc>
      </w:tr>
      <w:tr>
        <w:tc>
          <w:tcPr>
            <w:shd/>
          </w:tcPr>
          <w:p>
            <w:pPr>
              <w:spacing w:after="60"/>
            </w:pPr>
            <w:r>
              <w:rPr>
                <w:rFonts w:ascii="Calibri" w:cs="Calibri" w:eastAsia="Calibri" w:hAnsi="Calibri"/>
                <w:b w:val="false"/>
                <w:bCs w:val="false"/>
                <w:color w:val="000000"/>
                <w:sz w:val="18"/>
                <w:szCs w:val="18"/>
              </w:rPr>
              <w:t xml:space="preserve">Art. 47</w:t>
            </w:r>
          </w:p>
        </w:tc>
        <w:tc>
          <w:tcPr>
            <w:shd/>
          </w:tcPr>
          <w:p>
            <w:pPr>
              <w:spacing w:after="60"/>
            </w:pPr>
            <w:r>
              <w:rPr>
                <w:rFonts w:ascii="Calibri" w:cs="Calibri" w:eastAsia="Calibri" w:hAnsi="Calibri"/>
                <w:b w:val="false"/>
                <w:bCs w:val="false"/>
                <w:color w:val="000000"/>
                <w:sz w:val="18"/>
                <w:szCs w:val="18"/>
              </w:rPr>
              <w:t xml:space="preserve">EU-Konformitätserklärung</w:t>
            </w:r>
          </w:p>
        </w:tc>
        <w:tc>
          <w:tcPr>
            <w:shd/>
          </w:tcPr>
          <w:p>
            <w:pPr>
              <w:spacing w:after="60"/>
            </w:pPr>
            <w:r>
              <w:rPr>
                <w:rFonts w:ascii="Calibri" w:cs="Calibri" w:eastAsia="Calibri" w:hAnsi="Calibri"/>
                <w:b w:val="false"/>
                <w:bCs w:val="false"/>
                <w:color w:val="000000"/>
                <w:sz w:val="18"/>
                <w:szCs w:val="18"/>
              </w:rPr>
              <w:t xml:space="preserve">Entwurf (nicht finalisierbar)</w:t>
            </w:r>
          </w:p>
        </w:tc>
        <w:tc>
          <w:tcPr>
            <w:shd/>
          </w:tcPr>
          <w:p>
            <w:pPr>
              <w:spacing w:after="60"/>
            </w:pPr>
            <w:r>
              <w:rPr>
                <w:rFonts w:ascii="Calibri" w:cs="Calibri" w:eastAsia="Calibri" w:hAnsi="Calibri"/>
                <w:b w:val="false"/>
                <w:bCs w:val="false"/>
                <w:color w:val="000000"/>
                <w:sz w:val="18"/>
                <w:szCs w:val="18"/>
              </w:rPr>
              <w:t xml:space="preserve">Hoch</w:t>
            </w:r>
          </w:p>
        </w:tc>
      </w:tr>
      <w:tr>
        <w:tc>
          <w:tcPr>
            <w:shd/>
          </w:tcPr>
          <w:p>
            <w:pPr>
              <w:spacing w:after="60"/>
            </w:pPr>
            <w:r>
              <w:rPr>
                <w:rFonts w:ascii="Calibri" w:cs="Calibri" w:eastAsia="Calibri" w:hAnsi="Calibri"/>
                <w:b w:val="false"/>
                <w:bCs w:val="false"/>
                <w:color w:val="000000"/>
                <w:sz w:val="18"/>
                <w:szCs w:val="18"/>
              </w:rPr>
              <w:t xml:space="preserve">Art. 48</w:t>
            </w:r>
          </w:p>
        </w:tc>
        <w:tc>
          <w:tcPr>
            <w:shd/>
          </w:tcPr>
          <w:p>
            <w:pPr>
              <w:spacing w:after="60"/>
            </w:pPr>
            <w:r>
              <w:rPr>
                <w:rFonts w:ascii="Calibri" w:cs="Calibri" w:eastAsia="Calibri" w:hAnsi="Calibri"/>
                <w:b w:val="false"/>
                <w:bCs w:val="false"/>
                <w:color w:val="000000"/>
                <w:sz w:val="18"/>
                <w:szCs w:val="18"/>
              </w:rPr>
              <w:t xml:space="preserve">CE-Kennzeichnung KI-VO</w:t>
            </w:r>
          </w:p>
        </w:tc>
        <w:tc>
          <w:tcPr>
            <w:shd/>
          </w:tcPr>
          <w:p>
            <w:pPr>
              <w:spacing w:after="60"/>
            </w:pPr>
            <w:r>
              <w:rPr>
                <w:rFonts w:ascii="Calibri" w:cs="Calibri" w:eastAsia="Calibri" w:hAnsi="Calibri"/>
                <w:b w:val="false"/>
                <w:bCs w:val="false"/>
                <w:color w:val="000000"/>
                <w:sz w:val="18"/>
                <w:szCs w:val="18"/>
              </w:rPr>
              <w:t xml:space="preserve">Ausstehend</w:t>
            </w:r>
          </w:p>
        </w:tc>
        <w:tc>
          <w:tcPr>
            <w:shd/>
          </w:tcPr>
          <w:p>
            <w:pPr>
              <w:spacing w:after="60"/>
            </w:pPr>
            <w:r>
              <w:rPr>
                <w:rFonts w:ascii="Calibri" w:cs="Calibri" w:eastAsia="Calibri" w:hAnsi="Calibri"/>
                <w:b w:val="false"/>
                <w:bCs w:val="false"/>
                <w:color w:val="000000"/>
                <w:sz w:val="18"/>
                <w:szCs w:val="18"/>
              </w:rPr>
              <w:t xml:space="preserve">Hoch</w:t>
            </w:r>
          </w:p>
        </w:tc>
      </w:tr>
      <w:tr>
        <w:tc>
          <w:tcPr>
            <w:shd/>
          </w:tcPr>
          <w:p>
            <w:pPr>
              <w:spacing w:after="60"/>
            </w:pPr>
            <w:r>
              <w:rPr>
                <w:rFonts w:ascii="Calibri" w:cs="Calibri" w:eastAsia="Calibri" w:hAnsi="Calibri"/>
                <w:b w:val="false"/>
                <w:bCs w:val="false"/>
                <w:color w:val="000000"/>
                <w:sz w:val="18"/>
                <w:szCs w:val="18"/>
              </w:rPr>
              <w:t xml:space="preserve">Art. 49</w:t>
            </w:r>
          </w:p>
        </w:tc>
        <w:tc>
          <w:tcPr>
            <w:shd/>
          </w:tcPr>
          <w:p>
            <w:pPr>
              <w:spacing w:after="60"/>
            </w:pPr>
            <w:r>
              <w:rPr>
                <w:rFonts w:ascii="Calibri" w:cs="Calibri" w:eastAsia="Calibri" w:hAnsi="Calibri"/>
                <w:b w:val="false"/>
                <w:bCs w:val="false"/>
                <w:color w:val="000000"/>
                <w:sz w:val="18"/>
                <w:szCs w:val="18"/>
              </w:rPr>
              <w:t xml:space="preserve">EU-Datenbank-Registrierung</w:t>
            </w:r>
          </w:p>
        </w:tc>
        <w:tc>
          <w:tcPr>
            <w:shd/>
          </w:tcPr>
          <w:p>
            <w:pPr>
              <w:spacing w:after="60"/>
            </w:pPr>
            <w:r>
              <w:rPr>
                <w:rFonts w:ascii="Calibri" w:cs="Calibri" w:eastAsia="Calibri" w:hAnsi="Calibri"/>
                <w:b w:val="false"/>
                <w:bCs w:val="false"/>
                <w:color w:val="000000"/>
                <w:sz w:val="18"/>
                <w:szCs w:val="18"/>
              </w:rPr>
              <w:t xml:space="preserve">Nicht erfolgt</w:t>
            </w:r>
          </w:p>
        </w:tc>
        <w:tc>
          <w:tcPr>
            <w:shd/>
          </w:tcPr>
          <w:p>
            <w:pPr>
              <w:spacing w:after="60"/>
            </w:pPr>
            <w:r>
              <w:rPr>
                <w:rFonts w:ascii="Calibri" w:cs="Calibri" w:eastAsia="Calibri" w:hAnsi="Calibri"/>
                <w:b w:val="false"/>
                <w:bCs w:val="false"/>
                <w:color w:val="000000"/>
                <w:sz w:val="18"/>
                <w:szCs w:val="18"/>
              </w:rPr>
              <w:t xml:space="preserve">Hoch</w:t>
            </w:r>
          </w:p>
        </w:tc>
      </w:tr>
    </w:tbl>
    <w:p>
      <w:r>
        <w:br w:type="page"/>
      </w:r>
    </w:p>
    <w:p>
      <w:pPr>
        <w:pStyle w:val="Heading1"/>
        <w:spacing w:after="160" w:before="320"/>
      </w:pPr>
      <w:r>
        <w:t xml:space="preserve">5. Kernergebnis: Art. 14 — Menschliche Aufsicht</w:t>
      </w:r>
    </w:p>
    <w:p>
      <w:pPr>
        <w:spacing w:after="120"/>
      </w:pPr>
      <w:r>
        <w:rPr>
          <w:rFonts w:ascii="Calibri" w:cs="Calibri" w:eastAsia="Calibri" w:hAnsi="Calibri"/>
          <w:sz w:val="22"/>
          <w:szCs w:val="22"/>
        </w:rPr>
        <w:t xml:space="preserve">Der gravierendste Befund dieser Prüfung betrifft Art. 14 KI-VO. In 14 der 18 Krankenhäuser, in denen MedAssist v4 produktiv betrieben wird, existiert kein technisch erzwungener Quittierungsschritt, bevor die Systemempfehlung zur Ressourcenzuweisung umgesetzt wird. Disponenten übernehmen die Empfehlung faktisch ohne protokollierte Prüfung. Dies begründet eine strukturelle Aufsichtslücke.</w:t>
      </w:r>
    </w:p>
    <w:p>
      <w:pPr>
        <w:spacing w:after="120"/>
      </w:pPr>
      <w:r>
        <w:rPr>
          <w:rFonts w:ascii="Calibri" w:cs="Calibri" w:eastAsia="Calibri" w:hAnsi="Calibri"/>
          <w:sz w:val="22"/>
          <w:szCs w:val="22"/>
        </w:rPr>
        <w:t xml:space="preserve">Rechtliche Einordnung: Art. 14 Abs. 4 lit. e KI-VO verpflichtet Anbieter, Mechanismen bereitzustellen, die Betreibern erlauben, das System zu übersteuern oder zu stoppen. Eine bloß konzeptionell vorgesehene Übersteuerungsmöglichkeit ohne technische Erzwingung und Protokollierung erfüllt diese Anforderung nicht.</w:t>
      </w:r>
    </w:p>
    <w:p>
      <w:pPr>
        <w:spacing w:after="120"/>
      </w:pPr>
      <w:r>
        <w:rPr>
          <w:rFonts w:ascii="Calibri" w:cs="Calibri" w:eastAsia="Calibri" w:hAnsi="Calibri"/>
          <w:sz w:val="22"/>
          <w:szCs w:val="22"/>
        </w:rPr>
        <w:t xml:space="preserve">Haftungsrechtliche Folge: Die Verbindung von 8,8 % False-Negative-Rate bei lebensbedrohlichen Notrufen (Dringlichkeit 1) mit fehlender menschlicher Prüfung begründet erhebliche Produkthaftungsrisiken. Das Produkthaftungsgesetz (ProdHaftG) i.d.F. der Umsetzung der RL (EU) 2024/2853 findet Anwendung.</w:t>
      </w:r>
    </w:p>
    <w:p>
      <w:pPr>
        <w:spacing w:after="120"/>
      </w:pPr>
      <w:r>
        <w:rPr>
          <w:rFonts w:ascii="Calibri" w:cs="Calibri" w:eastAsia="Calibri" w:hAnsi="Calibri"/>
          <w:sz w:val="22"/>
          <w:szCs w:val="22"/>
        </w:rPr>
        <w:t xml:space="preserve">Sofortmaßnahme: Der Roll-out des Pflicht-Quittierungsschritts auf alle 18 Kliniken wurde am 30.04.2026 abgeschlossen (Bestätigung CTO Krishnamurthy vom 30.04.2026).</w:t>
      </w:r>
    </w:p>
    <w:p>
      <w:r>
        <w:br w:type="page"/>
      </w:r>
    </w:p>
    <w:p>
      <w:pPr>
        <w:pStyle w:val="Heading1"/>
        <w:spacing w:after="160" w:before="320"/>
      </w:pPr>
      <w:r>
        <w:t xml:space="preserve">6. GPAI-Komponente: Llama-Adaptation</w:t>
      </w:r>
    </w:p>
    <w:p>
      <w:pPr>
        <w:spacing w:after="120"/>
      </w:pPr>
      <w:r>
        <w:rPr>
          <w:rFonts w:ascii="Calibri" w:cs="Calibri" w:eastAsia="Calibri" w:hAnsi="Calibri"/>
          <w:sz w:val="22"/>
          <w:szCs w:val="22"/>
        </w:rPr>
        <w:t xml:space="preserve">MedAssist-LLM-Core v4 basiert auf Llama-3.1-70B-Instruct (Meta AI, RAIL-Lizenz v3). Das Fine-Tuning erfolgte auf einem medizinischen Notfalldatensatz (280.000 Trainingsschritte). Die Llama-3.1-Basiskomponente stellt ein GPAI-Modell i.S.d. Art. 3 Nr. 63 KI-VO dar.</w:t>
      </w:r>
    </w:p>
    <w:p>
      <w:pPr>
        <w:spacing w:after="120"/>
      </w:pPr>
      <w:r>
        <w:rPr>
          <w:rFonts w:ascii="Calibri" w:cs="Calibri" w:eastAsia="Calibri" w:hAnsi="Calibri"/>
          <w:sz w:val="22"/>
          <w:szCs w:val="22"/>
        </w:rPr>
        <w:t xml:space="preserve">Da das Fine-Tuning zu einer Spezialisierung (keine generalistische Verwendbarkeit mehr) geführt hat, ist MedAssist AI GmbH nicht als GPAI-Anbieter nach Art. 51–55 KI-VO einzustufen. Allerdings verpflichtet Art. 11 Abs. 3 KI-VO zur Integration der vom GPAI-Anbieter (Meta AI) bereitgestellten Informationen in die technische Dokumentation. Dies ist bislang nicht erfolgt.</w:t>
      </w:r>
    </w:p>
    <w:p>
      <w:pPr>
        <w:spacing w:after="120"/>
      </w:pPr>
      <w:r>
        <w:rPr>
          <w:rFonts w:ascii="Calibri" w:cs="Calibri" w:eastAsia="Calibri" w:hAnsi="Calibri"/>
          <w:sz w:val="22"/>
          <w:szCs w:val="22"/>
        </w:rPr>
        <w:t xml:space="preserve">Lizenzrechtliches Risiko: Die Acceptable Use Policy von Llama-3.1 schränkt den Einsatz für medizinische Entscheidungen ohne menschliche Aufsicht ein. Angesichts des Art. 14-Defizits (nun behoben) und der de-facto-Automatisierung in 14 Kliniken war das Lizenzrisiko erheblich.</w:t>
      </w:r>
    </w:p>
    <w:p>
      <w:r>
        <w:br w:type="page"/>
      </w:r>
    </w:p>
    <w:p>
      <w:pPr>
        <w:pStyle w:val="Heading1"/>
        <w:spacing w:after="160" w:before="320"/>
      </w:pPr>
      <w:r>
        <w:t xml:space="preserve">7. Behördliche Verfahren</w:t>
      </w:r>
    </w:p>
    <w:p>
      <w:pPr>
        <w:pStyle w:val="Heading2"/>
        <w:spacing w:after="120" w:before="240"/>
      </w:pPr>
      <w:r>
        <w:t xml:space="preserve">7.1 BNetzA (Az. 1-101.05-2026/MA-008)</w:t>
      </w:r>
    </w:p>
    <w:p>
      <w:pPr>
        <w:spacing w:after="120"/>
      </w:pPr>
      <w:r>
        <w:rPr>
          <w:rFonts w:ascii="Calibri" w:cs="Calibri" w:eastAsia="Calibri" w:hAnsi="Calibri"/>
          <w:sz w:val="22"/>
          <w:szCs w:val="22"/>
        </w:rPr>
        <w:t xml:space="preserve">Die Bundesnetzagentur hat am 22.02.2026 das Marktüberwachungsverfahren eröffnet. Auslöser: Beschwerde DiagnoFlow GmbH (München) beim DG CONNECT, weitergeleitet an BNetzA. Die Kanzlei Vellbruck &amp; Partner mbB vertritt MedAssist AI GmbH in diesem Verfahren.</w:t>
      </w:r>
    </w:p>
    <w:p>
      <w:pPr>
        <w:spacing w:after="120"/>
      </w:pPr>
      <w:r>
        <w:rPr>
          <w:rFonts w:ascii="Calibri" w:cs="Calibri" w:eastAsia="Calibri" w:hAnsi="Calibri"/>
          <w:sz w:val="22"/>
          <w:szCs w:val="22"/>
        </w:rPr>
        <w:t xml:space="preserve">Vor-Ort-Besichtigung Klinikum Mannheim-Süd: 12.05.2026. Der BNetzA-Inspektor hat den Quittierungsschritt (Beta) positiv vermerkt; weitere Unterlagen wurden angefordert.</w:t>
      </w:r>
    </w:p>
    <w:p>
      <w:pPr>
        <w:pStyle w:val="Heading2"/>
        <w:spacing w:after="120" w:before="240"/>
      </w:pPr>
      <w:r>
        <w:t xml:space="preserve">7.2 BfDI (Az. 13-3120/004#0117)</w:t>
      </w:r>
    </w:p>
    <w:p>
      <w:pPr>
        <w:spacing w:after="120"/>
      </w:pPr>
      <w:r>
        <w:rPr>
          <w:rFonts w:ascii="Calibri" w:cs="Calibri" w:eastAsia="Calibri" w:hAnsi="Calibri"/>
          <w:sz w:val="22"/>
          <w:szCs w:val="22"/>
        </w:rPr>
        <w:t xml:space="preserve">Die DPIA wurde am 01.05.2026 an die BfDI übermittelt. Rückmeldung der BfDI steht aus (30-Tage-Frist bis 01.06.2026).</w:t>
      </w:r>
    </w:p>
    <w:p>
      <w:pPr>
        <w:pStyle w:val="Heading2"/>
        <w:spacing w:after="120" w:before="240"/>
      </w:pPr>
      <w:r>
        <w:t xml:space="preserve">7.3 BfArM (Az. MED-AI-2026-0319)</w:t>
      </w:r>
    </w:p>
    <w:p>
      <w:pPr>
        <w:spacing w:after="120"/>
      </w:pPr>
      <w:r>
        <w:rPr>
          <w:rFonts w:ascii="Calibri" w:cs="Calibri" w:eastAsia="Calibri" w:hAnsi="Calibri"/>
          <w:sz w:val="22"/>
          <w:szCs w:val="22"/>
        </w:rPr>
        <w:t xml:space="preserve">MDR-Konformität bestätigt. BfArM hat auf ausstehende KI-VO-Konformität hingewiesen. Koordination für gemeinsame NB-Prüfung TÜV SÜD läuft.</w:t>
      </w:r>
    </w:p>
    <w:p>
      <w:r>
        <w:br w:type="page"/>
      </w:r>
    </w:p>
    <w:p>
      <w:pPr>
        <w:pStyle w:val="Heading1"/>
        <w:spacing w:after="160" w:before="320"/>
      </w:pPr>
      <w:r>
        <w:t xml:space="preserve">8. Handlungsempfehlungen und kritischer Pfad</w:t>
      </w:r>
    </w:p>
    <w:p>
      <w:pPr>
        <w:spacing w:after="120"/>
      </w:pPr>
      <w:r>
        <w:rPr>
          <w:rFonts w:ascii="Calibri" w:cs="Calibri" w:eastAsia="Calibri" w:hAnsi="Calibri"/>
          <w:sz w:val="22"/>
          <w:szCs w:val="22"/>
        </w:rPr>
        <w:t xml:space="preserve">Die wesentlichen Sofortmaßnahmen wurden eingeleitet (Quittierungsschritt-Roll-out, DPIA). Für die vollständige Konformität bis 02.08.2026 sind folgende Schritte auf dem kritischen Pfad:</w:t>
      </w:r>
    </w:p>
    <w:p>
      <w:pPr>
        <w:spacing w:after="80"/>
        <w:ind w:left="360"/>
      </w:pPr>
      <w:r>
        <w:rPr>
          <w:rFonts w:ascii="Calibri" w:cs="Calibri" w:eastAsia="Calibri" w:hAnsi="Calibri"/>
          <w:sz w:val="22"/>
          <w:szCs w:val="22"/>
        </w:rPr>
        <w:t xml:space="preserve">• Beauftragung TÜV SÜD für KI-VO-Konformitätsbewertung bis 15.05.2026</w:t>
      </w:r>
    </w:p>
    <w:p>
      <w:pPr>
        <w:spacing w:after="80"/>
        <w:ind w:left="360"/>
      </w:pPr>
      <w:r>
        <w:rPr>
          <w:rFonts w:ascii="Calibri" w:cs="Calibri" w:eastAsia="Calibri" w:hAnsi="Calibri"/>
          <w:sz w:val="22"/>
          <w:szCs w:val="22"/>
        </w:rPr>
        <w:t xml:space="preserve">• Fertigstellung technische Dokumentation (Anhang IV) bis 01.06.2026</w:t>
      </w:r>
    </w:p>
    <w:p>
      <w:pPr>
        <w:spacing w:after="80"/>
        <w:ind w:left="360"/>
      </w:pPr>
      <w:r>
        <w:rPr>
          <w:rFonts w:ascii="Calibri" w:cs="Calibri" w:eastAsia="Calibri" w:hAnsi="Calibri"/>
          <w:sz w:val="22"/>
          <w:szCs w:val="22"/>
        </w:rPr>
        <w:t xml:space="preserve">• Errichtung QMS nach Art. 17 KI-VO bis 01.06.2026</w:t>
      </w:r>
    </w:p>
    <w:p>
      <w:pPr>
        <w:spacing w:after="80"/>
        <w:ind w:left="360"/>
      </w:pPr>
      <w:r>
        <w:rPr>
          <w:rFonts w:ascii="Calibri" w:cs="Calibri" w:eastAsia="Calibri" w:hAnsi="Calibri"/>
          <w:sz w:val="22"/>
          <w:szCs w:val="22"/>
        </w:rPr>
        <w:t xml:space="preserve">• ISO 27001:2022 Rezertifizierung bis 30.06.2026</w:t>
      </w:r>
    </w:p>
    <w:p>
      <w:pPr>
        <w:spacing w:after="80"/>
        <w:ind w:left="360"/>
      </w:pPr>
      <w:r>
        <w:rPr>
          <w:rFonts w:ascii="Calibri" w:cs="Calibri" w:eastAsia="Calibri" w:hAnsi="Calibri"/>
          <w:sz w:val="22"/>
          <w:szCs w:val="22"/>
        </w:rPr>
        <w:t xml:space="preserve">• NB-Zertifikat TÜV SÜD: erwartet Mitte Juli 2026</w:t>
      </w:r>
    </w:p>
    <w:p>
      <w:pPr>
        <w:spacing w:after="80"/>
        <w:ind w:left="360"/>
      </w:pPr>
      <w:r>
        <w:rPr>
          <w:rFonts w:ascii="Calibri" w:cs="Calibri" w:eastAsia="Calibri" w:hAnsi="Calibri"/>
          <w:sz w:val="22"/>
          <w:szCs w:val="22"/>
        </w:rPr>
        <w:t xml:space="preserve">• EU-Konformitätserklärung, CE-Kennzeichnung, EUID-Registrierung: August 2026</w:t>
      </w:r>
    </w:p>
    <w:p>
      <w:pPr>
        <w:spacing w:after="120"/>
      </w:pPr>
      <w:r>
        <w:rPr>
          <w:rFonts w:ascii="Calibri" w:cs="Calibri" w:eastAsia="Calibri" w:hAnsi="Calibri"/>
          <w:sz w:val="22"/>
          <w:szCs w:val="22"/>
        </w:rPr>
        <w:t xml:space="preserve">Die Frist 02.08.2026 ist unter Optimalbedingungen erreichbar. Jede Verzögerung bei TÜV SÜD gefährdet die Fristwahrung.</w:t>
      </w:r>
    </w:p>
    <w:p>
      <w:r>
        <w:br w:type="page"/>
      </w:r>
    </w:p>
    <w:p>
      <w:pPr>
        <w:pStyle w:val="Heading1"/>
        <w:spacing w:after="160" w:before="320"/>
      </w:pPr>
      <w:r>
        <w:t xml:space="preserve">9. Haftungsrechtlicher Hinweis</w:t>
      </w:r>
    </w:p>
    <w:p>
      <w:pPr>
        <w:spacing w:after="120"/>
      </w:pPr>
      <w:r>
        <w:rPr>
          <w:rFonts w:ascii="Calibri" w:cs="Calibri" w:eastAsia="Calibri" w:hAnsi="Calibri"/>
          <w:sz w:val="22"/>
          <w:szCs w:val="22"/>
        </w:rPr>
        <w:t xml:space="preserve">Dieses Gutachten wurde auf Grundlage der bis 30.06.2026 vorliegenden Informationen erstellt. Es unterliegt dem Anwalt-Mandant-Privileg und ist vertraulich zu behandeln. Die vollständige Konformität tritt erst mit Abschluss aller unter Kapitel 8 genannten Maßnahmen ein. Bis dahin besteht ein Restrisiko behördlicher Maßnahmen, das durch die dokumentierten Fortschritte und die eingereichten Behördenberichte abgemildert wird.</w:t>
      </w:r>
    </w:p>
    <w:p>
      <w:pPr>
        <w:spacing w:after="120"/>
      </w:pPr>
      <w:r>
        <w:rPr>
          <w:rFonts w:ascii="Calibri" w:cs="Calibri" w:eastAsia="Calibri" w:hAnsi="Calibri"/>
          <w:sz w:val="22"/>
          <w:szCs w:val="22"/>
        </w:rPr>
        <w:t xml:space="preserve">Für Rückfragen:</w:t>
      </w:r>
    </w:p>
    <w:p>
      <w:pPr>
        <w:spacing w:after="120"/>
      </w:pPr>
      <w:r>
        <w:rPr>
          <w:rFonts w:ascii="Calibri" w:cs="Calibri" w:eastAsia="Calibri" w:hAnsi="Calibri"/>
          <w:sz w:val="22"/>
          <w:szCs w:val="22"/>
        </w:rPr>
        <w:t xml:space="preserve">RAin Dr. Henrietta Vellbruck-Steinheim — h.vellbruck-steinheim@vellbruck-partner.de — 06221 / 84 90-100</w:t>
      </w:r>
    </w:p>
    <w:p>
      <w:pPr>
        <w:spacing w:after="120"/>
      </w:pPr>
      <w:r>
        <w:rPr>
          <w:rFonts w:ascii="Calibri" w:cs="Calibri" w:eastAsia="Calibri" w:hAnsi="Calibri"/>
          <w:sz w:val="22"/>
          <w:szCs w:val="22"/>
        </w:rPr>
        <w:t xml:space="preserve">RA Dr. Mark Roosendaal — m.roosendaal@vellbruck-partner.de — 06221 / 84 90-110</w:t>
      </w:r>
    </w:p>
    <w:p>
      <w:pPr>
        <w:spacing w:before="480"/>
      </w:pPr>
      <w:r>
        <w:rPr>
          <w:rFonts w:ascii="Calibri" w:cs="Calibri" w:eastAsia="Calibri" w:hAnsi="Calibri"/>
          <w:sz w:val="22"/>
          <w:szCs w:val="22"/>
        </w:rPr>
        <w:t xml:space="preserve">Heidelberg, 30. Juni 2026</w:t>
      </w:r>
    </w:p>
    <w:p>
      <w:pPr>
        <w:spacing w:before="240"/>
      </w:pPr>
      <w:r>
        <w:rPr>
          <w:rFonts w:ascii="Calibri" w:cs="Calibri" w:eastAsia="Calibri" w:hAnsi="Calibri"/>
          <w:b/>
          <w:bCs/>
          <w:sz w:val="22"/>
          <w:szCs w:val="22"/>
        </w:rPr>
        <w:t xml:space="preserve">RAin Dr. Henrietta Vellbruck-Steinheim</w:t>
      </w:r>
    </w:p>
    <w:p>
      <w:r>
        <w:rPr>
          <w:rFonts w:ascii="Calibri" w:cs="Calibri" w:eastAsia="Calibri" w:hAnsi="Calibri"/>
          <w:sz w:val="22"/>
          <w:szCs w:val="22"/>
        </w:rPr>
        <w:t xml:space="preserve">Vellbruck &amp; Partner mbB, Heidelberg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Gutachten Konformitaetspruefung MedAssist v4 KI-VO</dc:title>
  <dc:creator>Vellbruck &amp; Partner mbB</dc:creator>
  <cp:lastModifiedBy>Un-named</cp:lastModifiedBy>
  <cp:revision>1</cp:revision>
  <dcterms:created xsi:type="dcterms:W3CDTF">2026-05-30T19:48:10.604Z</dcterms:created>
  <dcterms:modified xsi:type="dcterms:W3CDTF">2026-05-30T19:48:10.604Z</dcterms:modified>
</cp:coreProperties>
</file>

<file path=docProps/custom.xml><?xml version="1.0" encoding="utf-8"?>
<Properties xmlns="http://schemas.openxmlformats.org/officeDocument/2006/custom-properties" xmlns:vt="http://schemas.openxmlformats.org/officeDocument/2006/docPropsVTypes"/>
</file>