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  <w:jc w:val="center"/>
      </w:pPr>
      <w:r>
        <w:t xml:space="preserve">EU-FUSIONSKONTROLLANMELDUNG — FORM CO (AUSZUG)</w:t>
      </w:r>
    </w:p>
    <w:p>
      <w:pPr>
        <w:jc w:val="center"/>
      </w:pPr>
      <w:r>
        <w:rPr>
          <w:b/>
          <w:bCs/>
          <w:sz w:val="26"/>
          <w:szCs w:val="26"/>
        </w:rPr>
        <w:t xml:space="preserve">Case M.11244 — VENERA / FraktoMedis-Assets</w:t>
      </w:r>
    </w:p>
    <w:p>
      <w:pPr>
        <w:jc w:val="center"/>
      </w:pPr>
      <w:r>
        <w:t xml:space="preserve">Europaeische Kommission, DG COMP, Bruessel | Eingereicht: 22. Januar 2026</w:t>
      </w:r>
    </w:p>
    <w:p>
      <w:r>
        <w:t xml:space="preserve"> </w:t>
      </w:r>
    </w:p>
    <w:p>
      <w:pPr>
        <w:pStyle w:val="Heading1"/>
      </w:pPr>
      <w:r>
        <w:t xml:space="preserve">ABSCHNITT 1 — BESCHREIBUNG DES ZUSAMMENSCHLUSSES</w:t>
      </w:r>
    </w:p>
    <w:p>
      <w:r>
        <w:t xml:space="preserve">1.1 Art des Zusammenschlusses: Erwerb von Vermoegenswerten (Asset Deal) gemaess Art. 3 Abs. 1 lit. b) FKVO (VO (EG) Nr. 139/2004).</w:t>
      </w:r>
    </w:p>
    <w:p>
      <w:r>
        <w:t xml:space="preserve">1.2 Vollzugsdatum: 31. Juli 2026 (geplant). Long-Stop-Date: 31. Oktober 2026.</w:t>
      </w:r>
    </w:p>
    <w:p>
      <w:r>
        <w:t xml:space="preserve"> </w:t>
      </w:r>
    </w:p>
    <w:p>
      <w:pPr>
        <w:pStyle w:val="Heading1"/>
      </w:pPr>
      <w:r>
        <w:t xml:space="preserve">ABSCHNITT 2 — BETEILIGTE UNTERNEHMEN</w:t>
      </w:r>
    </w:p>
    <w:p>
      <w:r>
        <w:rPr>
          <w:b/>
          <w:bCs/>
        </w:rPr>
        <w:t xml:space="preserve">2.1 ERWERBER: VENERA Investment Group GmbH</w:t>
      </w:r>
    </w:p>
    <w:p>
      <w:pPr>
        <w:pStyle w:val="ListParagraph"/>
        <w:numPr>
          <w:ilvl w:val="0"/>
          <w:numId w:val="1"/>
        </w:numPr>
      </w:pPr>
      <w:r>
        <w:t xml:space="preserve">Sitz: Bockenheimer Landstrasse 24, 60323 Frankfurt am Main</w:t>
      </w:r>
    </w:p>
    <w:p>
      <w:pPr>
        <w:pStyle w:val="ListParagraph"/>
        <w:numPr>
          <w:ilvl w:val="0"/>
          <w:numId w:val="1"/>
        </w:numPr>
      </w:pPr>
      <w:r>
        <w:t xml:space="preserve">Weltweiter Umsatz (letzte Geschaeftsjahr): EUR 612 Mio. (konsolidiert)</w:t>
      </w:r>
    </w:p>
    <w:p>
      <w:pPr>
        <w:pStyle w:val="ListParagraph"/>
        <w:numPr>
          <w:ilvl w:val="0"/>
          <w:numId w:val="1"/>
        </w:numPr>
      </w:pPr>
      <w:r>
        <w:t xml:space="preserve">EU-Umsatz: EUR 430 Mio.</w:t>
      </w:r>
    </w:p>
    <w:p>
      <w:r>
        <w:t xml:space="preserve"> </w:t>
      </w:r>
    </w:p>
    <w:p>
      <w:r>
        <w:rPr>
          <w:b/>
          <w:bCs/>
        </w:rPr>
        <w:t xml:space="preserve">2.2 ZIELUNTERNEHMEN: FraktoMedis Praezision (Geschaeftsbereich der FraktoMedis SE)</w:t>
      </w:r>
    </w:p>
    <w:p>
      <w:pPr>
        <w:pStyle w:val="ListParagraph"/>
        <w:numPr>
          <w:ilvl w:val="0"/>
          <w:numId w:val="1"/>
        </w:numPr>
      </w:pPr>
      <w:r>
        <w:t xml:space="preserve">Sitz FraktoMedis SE: Rheinstrasse 44, 64283 Darmstadt</w:t>
      </w:r>
    </w:p>
    <w:p>
      <w:pPr>
        <w:pStyle w:val="ListParagraph"/>
        <w:numPr>
          <w:ilvl w:val="0"/>
          <w:numId w:val="1"/>
        </w:numPr>
      </w:pPr>
      <w:r>
        <w:t xml:space="preserve">Taetigkeit: Herstellung chirurgischer Frakturversorgungssysteme</w:t>
      </w:r>
    </w:p>
    <w:p>
      <w:pPr>
        <w:pStyle w:val="ListParagraph"/>
        <w:numPr>
          <w:ilvl w:val="0"/>
          <w:numId w:val="1"/>
        </w:numPr>
      </w:pPr>
      <w:r>
        <w:t xml:space="preserve">Weltweiter Umsatz: EUR 76 Mio. | EU-Umsatz: EUR 58 Mio.</w:t>
      </w:r>
    </w:p>
    <w:p>
      <w:r>
        <w:t xml:space="preserve"> </w:t>
      </w:r>
    </w:p>
    <w:p>
      <w:pPr>
        <w:pStyle w:val="Heading1"/>
      </w:pPr>
      <w:r>
        <w:t xml:space="preserve">ABSCHNITT 3 — RELEVANTE MAERKTE</w:t>
      </w:r>
    </w:p>
    <w:p>
      <w:r>
        <w:t xml:space="preserve">3.1 Sachlich: (a) Chirurgische Intramedullary-Nagelimplantate; (b) Locking-Plate-Systeme; (c) Orthopädische Implantate allgemein.</w:t>
      </w:r>
    </w:p>
    <w:p>
      <w:r>
        <w:t xml:space="preserve">3.2 Raeumlich: Mindestens EWR-weit (europaweite Krankenhausbeschaffungsausschreibungen).</w:t>
      </w:r>
    </w:p>
    <w:p>
      <w:r>
        <w:t xml:space="preserve"> </w:t>
      </w:r>
    </w:p>
    <w:p>
      <w:pPr>
        <w:pStyle w:val="Heading1"/>
      </w:pPr>
      <w:r>
        <w:t xml:space="preserve">ABSCHNITT 4 — MARKTANTEILE UND WETTBEWERBSANALYSE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</w:tblGrid>
      <w:tr>
        <w:trPr>
          <w:tblHeader/>
        </w:trPr>
        <w:tc>
          <w:tcPr>
            <w:shd w:fill="1B474D" w:color="1B474D" w:val="solid"/>
          </w:tcPr>
          <w:p>
            <w:pPr>
              <w:jc w:val="center"/>
            </w:pPr>
            <w:r>
              <w:rPr>
                <w:b/>
                <w:bCs/>
              </w:rPr>
              <w:t xml:space="preserve">Unternehmen</w:t>
            </w:r>
          </w:p>
        </w:tc>
        <w:tc>
          <w:tcPr>
            <w:shd w:fill="1B474D" w:color="1B474D" w:val="solid"/>
          </w:tcPr>
          <w:p>
            <w:pPr>
              <w:jc w:val="center"/>
            </w:pPr>
            <w:r>
              <w:rPr>
                <w:b/>
                <w:bCs/>
              </w:rPr>
              <w:t xml:space="preserve">Marktanteil EU (est.)</w:t>
            </w:r>
          </w:p>
        </w:tc>
        <w:tc>
          <w:tcPr>
            <w:shd w:fill="1B474D" w:color="1B474D" w:val="solid"/>
          </w:tcPr>
          <w:p>
            <w:pPr>
              <w:jc w:val="center"/>
            </w:pPr>
            <w:r>
              <w:rPr>
                <w:b/>
                <w:bCs/>
              </w:rPr>
              <w:t xml:space="preserve">Anmerkung</w:t>
            </w:r>
          </w:p>
        </w:tc>
      </w:tr>
      <w:tr>
        <w:tc>
          <w:p>
            <w:r>
              <w:t xml:space="preserve">Stryker Corp.</w:t>
            </w:r>
          </w:p>
        </w:tc>
        <w:tc>
          <w:p>
            <w:pPr>
              <w:jc w:val="center"/>
            </w:pPr>
            <w:r>
              <w:t xml:space="preserve">ca. 28%</w:t>
            </w:r>
          </w:p>
        </w:tc>
        <w:tc>
          <w:p>
            <w:r>
              <w:t xml:space="preserve">Groesster Marktteilnehmer</w:t>
            </w:r>
          </w:p>
        </w:tc>
      </w:tr>
      <w:tr>
        <w:tc>
          <w:p>
            <w:r>
              <w:t xml:space="preserve">DePuy Synthes (J&amp;J)</w:t>
            </w:r>
          </w:p>
        </w:tc>
        <w:tc>
          <w:p>
            <w:pPr>
              <w:jc w:val="center"/>
            </w:pPr>
            <w:r>
              <w:t xml:space="preserve">ca. 22%</w:t>
            </w:r>
          </w:p>
        </w:tc>
        <w:tc>
          <w:p>
            <w:r>
              <w:t xml:space="preserve"/>
            </w:r>
          </w:p>
        </w:tc>
      </w:tr>
      <w:tr>
        <w:tc>
          <w:p>
            <w:r>
              <w:t xml:space="preserve">Smith &amp; Nephew</w:t>
            </w:r>
          </w:p>
        </w:tc>
        <w:tc>
          <w:p>
            <w:pPr>
              <w:jc w:val="center"/>
            </w:pPr>
            <w:r>
              <w:t xml:space="preserve">ca. 14%</w:t>
            </w:r>
          </w:p>
        </w:tc>
        <w:tc>
          <w:p>
            <w:r>
              <w:t xml:space="preserve"/>
            </w:r>
          </w:p>
        </w:tc>
      </w:tr>
      <w:tr>
        <w:tc>
          <w:p>
            <w:r>
              <w:t xml:space="preserve">Zimmer Biomet</w:t>
            </w:r>
          </w:p>
        </w:tc>
        <w:tc>
          <w:p>
            <w:pPr>
              <w:jc w:val="center"/>
            </w:pPr>
            <w:r>
              <w:t xml:space="preserve">ca. 11%</w:t>
            </w:r>
          </w:p>
        </w:tc>
        <w:tc>
          <w:p>
            <w:r>
              <w:t xml:space="preserve"/>
            </w:r>
          </w:p>
        </w:tc>
      </w:tr>
      <w:tr>
        <w:tc>
          <w:p>
            <w:r>
              <w:t xml:space="preserve">FraktoMedis Praezision</w:t>
            </w:r>
          </w:p>
        </w:tc>
        <w:tc>
          <w:p>
            <w:pPr>
              <w:jc w:val="center"/>
            </w:pPr>
            <w:r>
              <w:t xml:space="preserve">ca. 9%</w:t>
            </w:r>
          </w:p>
        </w:tc>
        <w:tc>
          <w:p>
            <w:r>
              <w:t xml:space="preserve">Zielunternehmen</w:t>
            </w:r>
          </w:p>
        </w:tc>
      </w:tr>
      <w:tr>
        <w:tc>
          <w:p>
            <w:r>
              <w:t xml:space="preserve">VENERA (vor Zusammenschluss)</w:t>
            </w:r>
          </w:p>
        </w:tc>
        <w:tc>
          <w:p>
            <w:pPr>
              <w:jc w:val="center"/>
            </w:pPr>
            <w:r>
              <w:t xml:space="preserve">0%</w:t>
            </w:r>
          </w:p>
        </w:tc>
        <w:tc>
          <w:p>
            <w:r>
              <w:t xml:space="preserve">Neu in diesem Markt</w:t>
            </w:r>
          </w:p>
        </w:tc>
      </w:tr>
      <w:tr>
        <w:tc>
          <w:p>
            <w:r>
              <w:t xml:space="preserve">Sonstige</w:t>
            </w:r>
          </w:p>
        </w:tc>
        <w:tc>
          <w:p>
            <w:pPr>
              <w:jc w:val="center"/>
            </w:pPr>
            <w:r>
              <w:t xml:space="preserve">ca. 16%</w:t>
            </w:r>
          </w:p>
        </w:tc>
        <w:tc>
          <w:p>
            <w:r>
              <w:t xml:space="preserve"/>
            </w:r>
          </w:p>
        </w:tc>
      </w:tr>
    </w:tbl>
    <w:p>
      <w:r>
        <w:t xml:space="preserve"> </w:t>
      </w:r>
    </w:p>
    <w:p>
      <w:r>
        <w:t xml:space="preserve">4.2 Schlussfolgerung: Kein horizontaler Zusammenschluss (VENERA vor Closing nicht im Markt taetig). Konglomerater Zusammenschluss; keine marktbeherrschende Stellung entsteht.</w:t>
      </w:r>
    </w:p>
    <w:p>
      <w:r>
        <w:t xml:space="preserve"> </w:t>
      </w:r>
    </w:p>
    <w:p>
      <w:pPr>
        <w:pStyle w:val="Heading1"/>
      </w:pPr>
      <w:r>
        <w:t xml:space="preserve">ABSCHNITT 5 — ERGEBNIS PHASE I</w:t>
      </w:r>
    </w:p>
    <w:p>
      <w:r>
        <w:rPr>
          <w:b/>
          <w:bCs/>
        </w:rPr>
        <w:t xml:space="preserve">Entscheidung der Europaeischen Kommission vom 4. Maerz 2026: GENEHMIGT (Case M.11244, Phase I). Keine Auflagen.</w:t>
      </w:r>
    </w:p>
    <w:p>
      <w:r>
        <w:t xml:space="preserve"> </w:t>
      </w:r>
    </w:p>
    <w:p>
      <w:r>
        <w:rPr>
          <w:i/>
          <w:iCs/>
          <w:color w:val="888888"/>
          <w:sz w:val="16"/>
          <w:szCs w:val="16"/>
        </w:rPr>
        <w:t xml:space="preserve">Rechtsgrundlagen: Art. 1 Abs. 2, Art. 6 FKVO (VO (EG) 139/2004) | GWB §§ 35 ff. (https://dejure.org/gesetze/GWB/35.html)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EU-Fusionskontrolle Form CO — VENERA/FraktoMedis-Assets (Auszug)</dc:title>
  <dc:creator>Un-named</dc:creator>
  <cp:lastModifiedBy>Un-named</cp:lastModifiedBy>
  <cp:revision>1</cp:revision>
  <dcterms:created xsi:type="dcterms:W3CDTF">2026-05-30T17:21:22.209Z</dcterms:created>
  <dcterms:modified xsi:type="dcterms:W3CDTF">2026-05-30T17:21:22.209Z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