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jc w:val="center"/>
      </w:pPr>
      <w:r>
        <w:t xml:space="preserve">ASSET PURCHASE AGREEMENT</w:t>
      </w:r>
    </w:p>
    <w:p>
      <w:pPr>
        <w:jc w:val="center"/>
      </w:pPr>
      <w:r>
        <w:rPr>
          <w:b/>
          <w:bCs/>
          <w:sz w:val="26"/>
          <w:szCs w:val="26"/>
        </w:rPr>
        <w:t xml:space="preserve">Erwerb des Geschaeftsbereichs "FraktoMedis Praezision"</w:t>
      </w:r>
    </w:p>
    <w:p>
      <w:pPr>
        <w:jc w:val="center"/>
      </w:pPr>
      <w:r>
        <w:rPr>
          <w:sz w:val="22"/>
          <w:szCs w:val="22"/>
        </w:rPr>
        <w:t xml:space="preserve">zwischen VENERA Investment Group GmbH ("Kaeufer") und FraktoMedis SE ("Verkaeufer")</w:t>
      </w:r>
    </w:p>
    <w:p>
      <w:pPr>
        <w:jc w:val="center"/>
      </w:pPr>
      <w:r>
        <w:rPr>
          <w:b/>
          <w:bCs/>
          <w:color w:val="C00000"/>
        </w:rPr>
        <w:t xml:space="preserve">ENTWURF — Stand: 15. Januar 2026 | VERTRAULICH</w:t>
      </w:r>
    </w:p>
    <w:p>
      <w:r>
        <w:t xml:space="preserve">Auszug §§ 1–5, 10–12, 17–18</w:t>
      </w:r>
    </w:p>
    <w:p>
      <w:r>
        <w:t xml:space="preserve"> </w:t>
      </w:r>
    </w:p>
    <w:p>
      <w:pPr>
        <w:pStyle w:val="Heading1"/>
      </w:pPr>
      <w:r>
        <w:t xml:space="preserve">§ 1 — Vertragsgegenstand und Asset-Perimeter</w:t>
      </w:r>
    </w:p>
    <w:p>
      <w:r>
        <w:t xml:space="preserve">(1) Der Verkaeufer veraeuaert und uebertraegt hiermit an den Kaeufer mit Wirkung zum Vollzugstag ("Closing-Datum") alle zum Geschaeftsbereich "FraktoMedis Praezision" gehoerenden Vermoegenswerte und Verbindlichkeiten gemaess der in Anlage 1.1 beigefuegten Vermoegensaufstellung ("Transaktionsobjekte").</w:t>
      </w:r>
    </w:p>
    <w:p>
      <w:r>
        <w:t xml:space="preserve">(2) Zu den Transaktionsobjekten gehoeren insbesondere:</w:t>
      </w:r>
    </w:p>
    <w:p>
      <w:pPr>
        <w:pStyle w:val="ListParagraph"/>
        <w:numPr>
          <w:ilvl w:val="0"/>
          <w:numId w:val="1"/>
        </w:numPr>
      </w:pPr>
      <w:r>
        <w:t xml:space="preserve">a) Saemtliche Maschinen und Anlagen am Standort Darmstadt-Nord (Bartningstrasse 44);</w:t>
      </w:r>
    </w:p>
    <w:p>
      <w:pPr>
        <w:pStyle w:val="ListParagraph"/>
        <w:numPr>
          <w:ilvl w:val="0"/>
          <w:numId w:val="1"/>
        </w:numPr>
      </w:pPr>
      <w:r>
        <w:t xml:space="preserve">b) Alle Vorraeete, Halb- und Fertigfabrikate zum Locked-Box-Datum;</w:t>
      </w:r>
    </w:p>
    <w:p>
      <w:pPr>
        <w:pStyle w:val="ListParagraph"/>
        <w:numPr>
          <w:ilvl w:val="0"/>
          <w:numId w:val="1"/>
        </w:numPr>
      </w:pPr>
      <w:r>
        <w:t xml:space="preserve">c) Das gesamte gewerbliche Schutzrechtsportfolio (Patente, Marken, Designs, Gebrauchsmuster) gemaess Anlage 1.4;</w:t>
      </w:r>
    </w:p>
    <w:p>
      <w:pPr>
        <w:pStyle w:val="ListParagraph"/>
        <w:numPr>
          <w:ilvl w:val="0"/>
          <w:numId w:val="1"/>
        </w:numPr>
      </w:pPr>
      <w:r>
        <w:t xml:space="preserve">d) Alle Kundenvertraege, Lieferantenvertraege und sonstigen Vertraege des Geschaeftsbereichs;</w:t>
      </w:r>
    </w:p>
    <w:p>
      <w:pPr>
        <w:pStyle w:val="ListParagraph"/>
        <w:numPr>
          <w:ilvl w:val="0"/>
          <w:numId w:val="1"/>
        </w:numPr>
      </w:pPr>
      <w:r>
        <w:t xml:space="preserve">e) Das Grundstueck und die Fertigungshalle Darmstadt-Nord (Grundbuch AG Darmstadt, Band 44, Blatt 882);</w:t>
      </w:r>
    </w:p>
    <w:p>
      <w:pPr>
        <w:pStyle w:val="ListParagraph"/>
        <w:numPr>
          <w:ilvl w:val="0"/>
          <w:numId w:val="1"/>
        </w:numPr>
      </w:pPr>
      <w:r>
        <w:t xml:space="preserve">f) Kundenstamm, Datenbanken und dokumentiertes Know-How.</w:t>
      </w:r>
    </w:p>
    <w:p>
      <w:r>
        <w:t xml:space="preserve">(3) Nicht Gegenstand des Asset Deals: FraktoMedis SE (Holding), FraktoMedis Inc. (US), Pensionsverpflichtungen des Vorstands.</w:t>
      </w:r>
    </w:p>
    <w:p>
      <w:r>
        <w:t xml:space="preserve"> </w:t>
      </w:r>
    </w:p>
    <w:p>
      <w:pPr>
        <w:pStyle w:val="Heading1"/>
      </w:pPr>
      <w:r>
        <w:t xml:space="preserve">§ 2 — Kaufpreis und Kaufpreismechanismus</w:t>
      </w:r>
    </w:p>
    <w:p>
      <w:r>
        <w:t xml:space="preserve">(1) Der Kaufpreis betraegt EUR 50.000.000 (Basispreis), auf Basis Locked-Box-Mechanismus.</w:t>
      </w:r>
    </w:p>
    <w:p>
      <w:r>
        <w:t xml:space="preserve">(2) Locked-Box-Datum: 30. September 2025. Referenzbilanz nach IFRS, geprueft von KPMG Frankfurt.</w:t>
      </w:r>
    </w:p>
    <w:p>
      <w:r>
        <w:t xml:space="preserve">(3) NWC-Anpassung: Bei Abweichung von Ziel-NWC (EUR 8,4 Mio.) um mehr als EUR 1.000.000 wird der Basispreis angepasst.</w:t>
      </w:r>
    </w:p>
    <w:p>
      <w:r>
        <w:t xml:space="preserve">(4) Leakage-Abzug: Jede nicht genehmigte Zahlung aus dem Geschaeftsbereich an die Verkaeufer-Gruppe zwischen Locked-Box-Datum und Closing wird abgezogen.</w:t>
      </w:r>
    </w:p>
    <w:p>
      <w:r>
        <w:t xml:space="preserve"> </w:t>
      </w:r>
    </w:p>
    <w:p>
      <w:pPr>
        <w:pStyle w:val="Heading1"/>
      </w:pPr>
      <w:r>
        <w:t xml:space="preserve">§ 3 — Earn-Out</w:t>
      </w:r>
    </w:p>
    <w:p>
      <w:r>
        <w:t xml:space="preserve">(1) Zusaetzlich zahlt der Kaeufer einen variablen Earn-Out von bis zu EUR 12.000.000 ueber drei Geschaeftsjahre nach Closing, abhaengig von bereinigtem EBITDA gemaess Anlage 3.1.</w:t>
      </w:r>
    </w:p>
    <w:p>
      <w:r>
        <w:t xml:space="preserve">(2) EBITDA-Ziele: Jahr 1 EUR 9,5 Mio.; Jahr 2 EUR 11,0 Mio.; Jahr 3 EUR 12,5 Mio. Earn-Out-Zahlungen in Maerz des jeweiligen Folgejahres.</w:t>
      </w:r>
    </w:p>
    <w:p>
      <w:r>
        <w:t xml:space="preserve">(3) Earn-Out-Schutzklausel: Der Kaeufer darf EBITDA-relevante Entscheidungen nicht willkuerlich zulasten der Earn-Out-Ziele treffen.</w:t>
      </w:r>
    </w:p>
    <w:p>
      <w:r>
        <w:t xml:space="preserve"> </w:t>
      </w:r>
    </w:p>
    <w:p>
      <w:pPr>
        <w:pStyle w:val="Heading1"/>
      </w:pPr>
      <w:r>
        <w:t xml:space="preserve">§ 4 — Escrow</w:t>
      </w:r>
    </w:p>
    <w:p>
      <w:r>
        <w:t xml:space="preserve">EUR 6.000.000 (50% des Gesamt-Earn-Out) werden bis spaetestens 5 Werktage nach Closing auf ein Escrow-Konto bei DZ Privatbank S.A. Luxembourg eingezahlt. Freigabe nach Vorlage Earn-Out-Berechnung und Einigung beider Parteien.</w:t>
      </w:r>
    </w:p>
    <w:p>
      <w:r>
        <w:t xml:space="preserve"> </w:t>
      </w:r>
    </w:p>
    <w:p>
      <w:pPr>
        <w:pStyle w:val="Heading1"/>
      </w:pPr>
      <w:r>
        <w:t xml:space="preserve">§ 5 — Betriebsuebergang</w:t>
      </w:r>
    </w:p>
    <w:p>
      <w:r>
        <w:t xml:space="preserve">(1) Die Parteien sind sich einig, dass der Vollzug dieses Vertrags einen Betriebsuebergang gemaess § 613a BGB darstellt. Der Kaeufer tritt mit dem Closing-Datum in saemtliche Arbeitsverhaeltnisse der Beschaeftigten des Geschaeftsbereichs ein, die dem Uebergang nicht widersprechen.</w:t>
      </w:r>
    </w:p>
    <w:p>
      <w:r>
        <w:t xml:space="preserve">(2) Die Unterrichtung der Arbeitnehmer gemaess § 613a Abs. 5 BGB erfolgte am 15. Februar 2026 durch die Parteien gemeinsam.</w:t>
      </w:r>
    </w:p>
    <w:p>
      <w:r>
        <w:t xml:space="preserve"> </w:t>
      </w:r>
    </w:p>
    <w:p>
      <w:pPr>
        <w:pStyle w:val="Heading1"/>
      </w:pPr>
      <w:r>
        <w:t xml:space="preserve">§ 10 — Garantien des Verkaefers</w:t>
      </w:r>
    </w:p>
    <w:p>
      <w:r>
        <w:t xml:space="preserve">(1) Der Verkaeufer gibt die in Anlage 10.1 aufgefuehrten Garantien ab. Ausnahmen ergeben sich ausschliesslich aus dem Disclosure Schedule (Anlage 10.2). Nur spezifische Offenlegungen beschraenken die Garantiehaftung.</w:t>
      </w:r>
    </w:p>
    <w:p>
      <w:r>
        <w:t xml:space="preserve">(2) Garantien gelten zum Signing-Datum und zum Closing-Datum, soweit nicht ausdruecklich anders bestimmt.</w:t>
      </w:r>
    </w:p>
    <w:p>
      <w:r>
        <w:t xml:space="preserve"> </w:t>
      </w:r>
    </w:p>
    <w:p>
      <w:pPr>
        <w:pStyle w:val="Heading1"/>
      </w:pPr>
      <w:r>
        <w:t xml:space="preserve">§ 11 — Haftungsbeschraenkungen</w:t>
      </w:r>
    </w:p>
    <w:p>
      <w:r>
        <w:t xml:space="preserve">(1) General Cap: 25% des Basispreises = EUR 12.500.000, vorbehaltlich § 12 (Spezifische Indemnities).</w:t>
      </w:r>
    </w:p>
    <w:p>
      <w:r>
        <w:t xml:space="preserve">(2) De-minimis: EUR 50.000 je Einzelfall. Basket: EUR 580.000 Gesamtschaden.</w:t>
      </w:r>
    </w:p>
    <w:p>
      <w:r>
        <w:t xml:space="preserve">(3) Verjaehrung: 18 Monate (allgemein), 5 Jahre (Steuer/Compliance), 10 Jahre (Arglist, § 438 Abs. 3 BGB).</w:t>
      </w:r>
    </w:p>
    <w:p>
      <w:r>
        <w:t xml:space="preserve"> </w:t>
      </w:r>
    </w:p>
    <w:p>
      <w:pPr>
        <w:pStyle w:val="Heading1"/>
      </w:pPr>
      <w:r>
        <w:t xml:space="preserve">§ 12 — Spezifische Indemnities</w:t>
      </w:r>
    </w:p>
    <w:p>
      <w:r>
        <w:t xml:space="preserve">Der Verkaeufer stellt den Kaeufer vollumfaenglich frei (ohne Cap, ohne Basket) von:</w:t>
      </w:r>
    </w:p>
    <w:p>
      <w:pPr>
        <w:pStyle w:val="ListParagraph"/>
        <w:numPr>
          <w:ilvl w:val="0"/>
          <w:numId w:val="1"/>
        </w:numPr>
      </w:pPr>
      <w:r>
        <w:t xml:space="preserve">a) Allen Verbindlichkeiten aus DOJ Subpoena / FCPA (FraktoMedis Inc.);</w:t>
      </w:r>
    </w:p>
    <w:p>
      <w:pPr>
        <w:pStyle w:val="ListParagraph"/>
        <w:numPr>
          <w:ilvl w:val="0"/>
          <w:numId w:val="1"/>
        </w:numPr>
      </w:pPr>
      <w:r>
        <w:t xml:space="preserve">b) Patentnichtigkeitsklage BPatG 3 Ni 44/24, bis zu EUR 30.000.000;</w:t>
      </w:r>
    </w:p>
    <w:p>
      <w:pPr>
        <w:pStyle w:val="ListParagraph"/>
        <w:numPr>
          <w:ilvl w:val="0"/>
          <w:numId w:val="1"/>
        </w:numPr>
      </w:pPr>
      <w:r>
        <w:t xml:space="preserve">c) Korruptionsvorgaengen Lateinamerika 2022 (Brasilien/Mexiko);</w:t>
      </w:r>
    </w:p>
    <w:p>
      <w:pPr>
        <w:pStyle w:val="ListParagraph"/>
        <w:numPr>
          <w:ilvl w:val="0"/>
          <w:numId w:val="1"/>
        </w:numPr>
      </w:pPr>
      <w:r>
        <w:t xml:space="preserve">d) Beratervertrag Schwiegersohn (ungekuendigter Vertrag bis 30. Juni 2027).</w:t>
      </w:r>
    </w:p>
    <w:p>
      <w:r>
        <w:t xml:space="preserve"> </w:t>
      </w:r>
    </w:p>
    <w:p>
      <w:pPr>
        <w:pStyle w:val="Heading1"/>
      </w:pPr>
      <w:r>
        <w:t xml:space="preserve">§ 17 — Anwendbares Recht und Gerichtsstand</w:t>
      </w:r>
    </w:p>
    <w:p>
      <w:r>
        <w:t xml:space="preserve">Deutsches Recht. Ausschliesslicher Gerichtsstand: Frankfurt am Main.</w:t>
      </w:r>
    </w:p>
    <w:p>
      <w:r>
        <w:t xml:space="preserve"> </w:t>
      </w:r>
    </w:p>
    <w:p>
      <w:pPr>
        <w:pStyle w:val="Heading1"/>
      </w:pPr>
      <w:r>
        <w:t xml:space="preserve">§ 18 — Schlussbestimmungen</w:t>
      </w:r>
    </w:p>
    <w:p>
      <w:r>
        <w:t xml:space="preserve">Aenderungen beduerfen der Schriftform (§ 126 BGB). Salvatorische Klausel.</w:t>
      </w:r>
    </w:p>
    <w:p>
      <w:r>
        <w:t xml:space="preserve"> </w:t>
      </w:r>
    </w:p>
    <w:p>
      <w:r>
        <w:rPr>
          <w:i/>
          <w:iCs/>
          <w:color w:val="888888"/>
          <w:sz w:val="16"/>
          <w:szCs w:val="16"/>
        </w:rPr>
        <w:t xml:space="preserve">Rechtsquellen: BGB §§ 433 ff. (https://dejure.org/gesetze/BGB/433.html) | § 613a BGB (https://dejure.org/gesetze/BGB/613a.html) | § 438 BGB (https://dejure.org/gesetze/BGB/438.html)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Asset Purchase Agreement — VENERA/FraktoMedis Praezision (Auszug)</dc:title>
  <dc:creator>Un-named</dc:creator>
  <cp:lastModifiedBy>Un-named</cp:lastModifiedBy>
  <cp:revision>1</cp:revision>
  <dcterms:created xsi:type="dcterms:W3CDTF">2026-05-30T17:21:22.134Z</dcterms:created>
  <dcterms:modified xsi:type="dcterms:W3CDTF">2026-05-30T17:21:22.134Z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