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center"/>
      </w:pPr>
      <w:r>
        <w:rPr>
          <w:b/>
          <w:bCs/>
          <w:sz w:val="28"/>
          <w:szCs w:val="28"/>
        </w:rPr>
        <w:t xml:space="preserve">Roosendaal &amp; Tannenfels Rechtsanwälte PartmbB</w:t>
      </w:r>
    </w:p>
    <w:p>
      <w:pPr>
        <w:jc w:val="center"/>
      </w:pPr>
      <w:r>
        <w:rPr>
          <w:sz w:val="20"/>
          <w:szCs w:val="20"/>
        </w:rPr>
        <w:t xml:space="preserve">Breite Straße 74 · 50667 Köln · Tel. 0221/487 32 10</w:t>
      </w:r>
    </w:p>
    <w:p>
      <w:r>
        <w:t xml:space="preserve"/>
      </w:r>
    </w:p>
    <w:p>
      <w:pPr>
        <w:jc w:val="center"/>
      </w:pPr>
      <w:r>
        <w:rPr>
          <w:b/>
          <w:bCs/>
          <w:sz w:val="32"/>
          <w:szCs w:val="32"/>
        </w:rPr>
        <w:t xml:space="preserve">HONORARVEREINBARUNG (ZEITHONORAR)</w:t>
      </w:r>
    </w:p>
    <w:p>
      <w:r>
        <w:t xml:space="preserve"/>
      </w:r>
    </w:p>
    <w:p>
      <w:r>
        <w:rPr>
          <w:b/>
          <w:bCs/>
          <w:sz w:val="24"/>
          <w:szCs w:val="24"/>
        </w:rPr>
        <w:t xml:space="preserve">zwischen</w:t>
      </w:r>
    </w:p>
    <w:p>
      <w:r>
        <w:rPr>
          <w:sz w:val="22"/>
          <w:szCs w:val="22"/>
        </w:rPr>
        <w:t xml:space="preserve">Roosendaal &amp; Tannenfels Rechtsanwälte PartmbB, Breite Straße 74, 50667 Köln</w:t>
      </w:r>
    </w:p>
    <w:p>
      <w:r>
        <w:rPr>
          <w:sz w:val="22"/>
          <w:szCs w:val="22"/>
        </w:rPr>
        <w:t xml:space="preserve">– im Folgenden „Kanzlei" –</w:t>
      </w:r>
    </w:p>
    <w:p>
      <w:r>
        <w:t xml:space="preserve"/>
      </w:r>
    </w:p>
    <w:p>
      <w:r>
        <w:rPr>
          <w:b/>
          <w:bCs/>
          <w:sz w:val="24"/>
          <w:szCs w:val="24"/>
        </w:rPr>
        <w:t xml:space="preserve">und</w:t>
      </w:r>
    </w:p>
    <w:p>
      <w:r>
        <w:rPr>
          <w:sz w:val="22"/>
          <w:szCs w:val="22"/>
        </w:rPr>
        <w:t xml:space="preserve">Name/Firma: _______________________________________________</w:t>
      </w:r>
    </w:p>
    <w:p>
      <w:r>
        <w:rPr>
          <w:sz w:val="22"/>
          <w:szCs w:val="22"/>
        </w:rPr>
        <w:t xml:space="preserve">Anschrift: ________________________________________________</w:t>
      </w:r>
    </w:p>
    <w:p>
      <w:r>
        <w:rPr>
          <w:sz w:val="22"/>
          <w:szCs w:val="22"/>
        </w:rPr>
        <w:t xml:space="preserve">– im Folgenden „Auftraggeber" –</w:t>
      </w:r>
    </w:p>
    <w:p>
      <w:r>
        <w:t xml:space="preserve"/>
      </w:r>
    </w:p>
    <w:p>
      <w:pPr>
        <w:pStyle w:val="Heading2"/>
      </w:pPr>
      <w:r>
        <w:rPr>
          <w:b/>
          <w:bCs/>
          <w:sz w:val="26"/>
          <w:szCs w:val="26"/>
        </w:rPr>
        <w:t xml:space="preserve">§ 1 — Gegenstand</w:t>
      </w:r>
    </w:p>
    <w:p>
      <w:r>
        <w:rPr>
          <w:sz w:val="22"/>
          <w:szCs w:val="22"/>
        </w:rPr>
        <w:t xml:space="preserve">Diese Honorarvereinbarung gilt für die anwaltliche Tätigkeit der Kanzlei im Mandat: ________________________________.</w:t>
      </w:r>
    </w:p>
    <w:p>
      <w:r>
        <w:t xml:space="preserve"/>
      </w:r>
    </w:p>
    <w:p>
      <w:pPr>
        <w:pStyle w:val="Heading2"/>
      </w:pPr>
      <w:r>
        <w:rPr>
          <w:b/>
          <w:bCs/>
          <w:sz w:val="26"/>
          <w:szCs w:val="26"/>
        </w:rPr>
        <w:t xml:space="preserve">§ 2 — Stundenhonorar</w:t>
      </w:r>
    </w:p>
    <w:p>
      <w:r>
        <w:rPr>
          <w:sz w:val="22"/>
          <w:szCs w:val="22"/>
        </w:rPr>
        <w:t xml:space="preserve">Abweichend von den gesetzlichen Gebühren nach dem Rechtsanwaltsvergütungsgesetz (RVG) wird ein Stundenhonorar von EUR _______ netto zzgl. der gesetzlichen Umsatzsteuer (derzeit 19 %) vereinbart. Dieser Betrag gilt für alle anwaltlichen Tätigkeiten, insbesondere für Beratung, Schriftwechsel, Verhandlungen, Gerichtstermine und Aktenstudium. Reisezeiten werden zu 50 % des Stundenhonorars abgerechnet, soweit nicht anderweitig vereinbart.</w:t>
      </w:r>
    </w:p>
    <w:p>
      <w:r>
        <w:t xml:space="preserve"/>
      </w:r>
    </w:p>
    <w:p>
      <w:pPr>
        <w:pStyle w:val="Heading2"/>
      </w:pPr>
      <w:r>
        <w:rPr>
          <w:b/>
          <w:bCs/>
          <w:sz w:val="26"/>
          <w:szCs w:val="26"/>
        </w:rPr>
        <w:t xml:space="preserve">§ 3 — Abrechnung und Fälligkeit</w:t>
      </w:r>
    </w:p>
    <w:p>
      <w:r>
        <w:rPr>
          <w:sz w:val="22"/>
          <w:szCs w:val="22"/>
        </w:rPr>
        <w:t xml:space="preserve">Die Abrechnung erfolgt monatlich auf Basis der aufgewendeten Stunden (Mindesteinheit 6 Minuten). Die Rechnungsstellung erfolgt am Monatsende; fällig 14 Tage nach Zugang. Der Auftraggeber erhält einen Tätigkeitsnachweis (Stundenprotokoll) als Anlage zur Rechnung.</w:t>
      </w:r>
    </w:p>
    <w:p>
      <w:r>
        <w:t xml:space="preserve"/>
      </w:r>
    </w:p>
    <w:p>
      <w:pPr>
        <w:pStyle w:val="Heading2"/>
      </w:pPr>
      <w:r>
        <w:rPr>
          <w:b/>
          <w:bCs/>
          <w:sz w:val="26"/>
          <w:szCs w:val="26"/>
        </w:rPr>
        <w:t xml:space="preserve">§ 4 — Kostenvorschuss</w:t>
      </w:r>
    </w:p>
    <w:p>
      <w:r>
        <w:rPr>
          <w:sz w:val="22"/>
          <w:szCs w:val="22"/>
        </w:rPr>
        <w:t xml:space="preserve">Die Kanzlei ist berechtigt, vor Mandatsbeginn und während der Bearbeitung Kostenvorschüsse anzufordern. Die Kanzlei ist nicht zur Leistung verpflichtet, bevor der Vorschuss eingegangen ist.</w:t>
      </w:r>
    </w:p>
    <w:p>
      <w:r>
        <w:t xml:space="preserve"/>
      </w:r>
    </w:p>
    <w:p>
      <w:pPr>
        <w:pStyle w:val="Heading2"/>
      </w:pPr>
      <w:r>
        <w:rPr>
          <w:b/>
          <w:bCs/>
          <w:sz w:val="26"/>
          <w:szCs w:val="26"/>
        </w:rPr>
        <w:t xml:space="preserve">§ 5 — Verhältnis zu RVG-Gebühren</w:t>
      </w:r>
    </w:p>
    <w:p>
      <w:r>
        <w:rPr>
          <w:sz w:val="22"/>
          <w:szCs w:val="22"/>
        </w:rPr>
        <w:t xml:space="preserve">Diese Vereinbarung ersetzt vollständig die gesetzlichen Gebühren nach dem RVG. Soweit gesetzliche Gebühren gegenüber der Gegenseite oder einer Rechtsschutzversicherung geltend gemacht werden, richtet sich die Erstattung nach den gesetzlichen Gebühren (RVG). Ein etwaiger Mehraufwand verbleibt beim Auftraggeber.</w:t>
      </w:r>
    </w:p>
    <w:p>
      <w:r>
        <w:t xml:space="preserve"/>
      </w:r>
    </w:p>
    <w:p>
      <w:pPr>
        <w:pStyle w:val="Heading2"/>
      </w:pPr>
      <w:r>
        <w:rPr>
          <w:b/>
          <w:bCs/>
          <w:sz w:val="26"/>
          <w:szCs w:val="26"/>
        </w:rPr>
        <w:t xml:space="preserve">§ 6 — Schriftform</w:t>
      </w:r>
    </w:p>
    <w:p>
      <w:r>
        <w:rPr>
          <w:sz w:val="22"/>
          <w:szCs w:val="22"/>
        </w:rPr>
        <w:t xml:space="preserve">Diese Vereinbarung bedarf der Schriftform gemäß § 3a Abs. 1 S. 1 RVG. Mündliche Nebenabreden sind nicht wirksam.</w:t>
      </w:r>
    </w:p>
    <w:p>
      <w:r>
        <w:t xml:space="preserve"/>
      </w:r>
    </w:p>
    <w:p>
      <w:pPr>
        <w:pStyle w:val="Heading2"/>
      </w:pPr>
      <w:r>
        <w:rPr>
          <w:b/>
          <w:bCs/>
          <w:sz w:val="26"/>
          <w:szCs w:val="26"/>
        </w:rPr>
        <w:t xml:space="preserve">§ 7 — Hinweis nach § 3a Abs. 1 S. 2 RVG</w:t>
      </w:r>
    </w:p>
    <w:p>
      <w:r>
        <w:rPr>
          <w:sz w:val="22"/>
          <w:szCs w:val="22"/>
        </w:rPr>
        <w:t xml:space="preserve">Der Auftraggeber ist darauf hingewiesen worden, dass die vereinbarte Vergütung von den gesetzlichen Gebühren nach dem RVG abweichen kann.</w:t>
      </w:r>
    </w:p>
    <w:p>
      <w:r>
        <w:t xml:space="preserve"/>
      </w:r>
    </w:p>
    <w:p>
      <w:r>
        <w:t xml:space="preserve"/>
      </w:r>
    </w:p>
    <w:p>
      <w:r>
        <w:rPr>
          <w:sz w:val="22"/>
          <w:szCs w:val="22"/>
        </w:rPr>
        <w:t xml:space="preserve">Köln, den _________________</w:t>
      </w:r>
    </w:p>
    <w:p>
      <w:r>
        <w:t xml:space="preserve"/>
      </w:r>
    </w:p>
    <w:p>
      <w:r>
        <w:rPr>
          <w:sz w:val="22"/>
          <w:szCs w:val="22"/>
        </w:rPr>
        <w:t xml:space="preserve">____________________________          ____________________________</w:t>
      </w:r>
    </w:p>
    <w:p>
      <w:r>
        <w:rPr>
          <w:sz w:val="22"/>
          <w:szCs w:val="22"/>
        </w:rPr>
        <w:t xml:space="preserve">Roosendaal &amp; Tannenfels PartmbB       Auftraggeber</w:t>
      </w:r>
    </w:p>
    <w:p>
      <w:r>
        <w:t xml:space="preserve"/>
      </w:r>
    </w:p>
    <w:p>
      <w:r>
        <w:rPr>
          <w:i/>
          <w:iCs/>
          <w:sz w:val="18"/>
          <w:szCs w:val="18"/>
        </w:rPr>
        <w:t xml:space="preserve">Rechtsgrundlagen: BRAO § 49b · RVG § 3a · RVG § 4 · BORA § 12 · dejure.org/gesetze/RVG/3a.html</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Honorarvereinbarung Zeithonorar - Roosendaal &amp; Tannenfels</dc:title>
  <dc:creator>Perplexity Computer</dc:creator>
  <cp:lastModifiedBy>Un-named</cp:lastModifiedBy>
  <cp:revision>1</cp:revision>
  <dcterms:created xsi:type="dcterms:W3CDTF">2026-05-30T19:38:56.882Z</dcterms:created>
  <dcterms:modified xsi:type="dcterms:W3CDTF">2026-05-30T19:38:56.883Z</dcterms:modified>
</cp:coreProperties>
</file>

<file path=docProps/custom.xml><?xml version="1.0" encoding="utf-8"?>
<Properties xmlns="http://schemas.openxmlformats.org/officeDocument/2006/custom-properties" xmlns:vt="http://schemas.openxmlformats.org/officeDocument/2006/docPropsVTypes"/>
</file>