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</w:rPr>
        <w:t>European Union Intellectual Property Office</w:t>
        <w:br/>
        <w:t>Boards of Appeal — First Board</w:t>
      </w:r>
    </w:p>
    <w:p/>
    <w:p>
      <w:pPr>
        <w:pStyle w:val="Heading1"/>
        <w:jc w:val="center"/>
      </w:pPr>
      <w:r>
        <w:t>Case R 1322/26-2</w:t>
      </w:r>
    </w:p>
    <w:p>
      <w:pPr>
        <w:jc w:val="center"/>
      </w:pPr>
      <w:r>
        <w:rPr>
          <w:b/>
        </w:rPr>
        <w:t>BESCHWERDEGEGENSCHRIFT DER MARKENINHABERIN</w:t>
      </w:r>
    </w:p>
    <w:p/>
    <w:p>
      <w:r>
        <w:t>Verfahren: Beschwerde gegen Entscheidung EUIPO-Nichtigkeitsabteilung vom 08.01.2026 (ICD 000 042 881)</w:t>
      </w:r>
    </w:p>
    <w:p>
      <w:r>
        <w:t>Beschwerdefuehrerin: Bouqart Italia S.r.l., Via del Commercio 44, 41121 Modena, Italien</w:t>
      </w:r>
    </w:p>
    <w:p>
      <w:r>
        <w:t>Beschwerdegegnerin: Leichtenstein Gartenkultur Manufaktur GmbH, Neckarstrasse 118, 69412 Eberbach am Neckar</w:t>
      </w:r>
    </w:p>
    <w:p>
      <w:r>
        <w:t>Streitgegenstand: EU-3D-Marke EUIPO Nr. 018 977 412 (gusseiserne Rosenbluete)</w:t>
      </w:r>
    </w:p>
    <w:p>
      <w:r>
        <w:t>Eingereicht: 08. Juli 2026  |  Frist: 15. Juli 2026</w:t>
      </w:r>
    </w:p>
    <w:p>
      <w:pPr>
        <w:pStyle w:val="Heading1"/>
      </w:pPr>
      <w:r>
        <w:t>I. Antraege der Markeninhaberin</w:t>
      </w:r>
    </w:p>
    <w:p>
      <w:r>
        <w:t>1. Die Beschwerde von Bouqart Italia S.r.l. zurueckzuweisen.</w:t>
        <w:br/>
        <w:t>2. Die Entscheidung der Nichtigkeitsabteilung vom 08.01.2026 (ICD 000 042 881) zu bestaetigen.</w:t>
        <w:br/>
        <w:t>3. Bouqart die Kosten des Beschwerdeverfahrens aufzuerlegen.</w:t>
        <w:br/>
        <w:t>Hilfsweise: Bestaetigung der Marke aufgrund nachgewiesener Verkehrsdurchsetzung (Art. 7 Abs. 3 UMV).</w:t>
      </w:r>
    </w:p>
    <w:p>
      <w:pPr>
        <w:pStyle w:val="Heading1"/>
      </w:pPr>
      <w:r>
        <w:t>II. Sachverhalt</w:t>
      </w:r>
    </w:p>
    <w:p>
      <w:r>
        <w:t>Die Markeninhaberin haelt die EU-3D-Marke 018 977 412 (eingetragen 22.06.2019), die die dreidimensionale Gestaltung einer gusseisernen Rosenbluete mit S-foermigem Schaft, 15 Bluetenblaettern in asymmetrischer Doppelanordnung (8+7) und Einzelblattattrappe auf halber Schafthoehe schuetzt. Die EUIPO-Nichtigkeitsabteilung hat den Loeschungsantrag von Bouqart (September 2025) mit Entscheidung vom 08.01.2026 zurueckgewiesen. Bouqart hat hiergegen Beschwerde eingelegt.</w:t>
      </w:r>
    </w:p>
    <w:p>
      <w:pPr>
        <w:pStyle w:val="Heading1"/>
      </w:pPr>
      <w:r>
        <w:t>III. Erwiderung auf die Beschwerdebegründung</w:t>
      </w:r>
    </w:p>
    <w:p>
      <w:pPr>
        <w:pStyle w:val="Heading2"/>
      </w:pPr>
      <w:r>
        <w:t>A. Zur mangelnden Unterscheidungskraft</w:t>
      </w:r>
    </w:p>
    <w:p>
      <w:r>
        <w:t>Die eingetragene Gestaltung weicht erheblich vom branchenueblichen Standard ab. Eine Marktrecherche (18 Wettbewerberprodukte, Anlagen M-15 bis M-32) belegt: kein Wettbewerberprodukt vereint den S-foermigen Schaft, die Einzelblattattrappe und die asymmetrische Doppellagenblute. Der Board of Appeal darf von der erstinstanzlichen Entscheidung nur abweichen, wenn diese offensichtlich fehlerhaft ist -- dies ist nicht der Fall (Entscheidungsbegruendung Seiten 8-12, Abs. 34-51 ausfuehrlich begruendet).</w:t>
      </w:r>
    </w:p>
    <w:p>
      <w:pPr>
        <w:pStyle w:val="Heading2"/>
      </w:pPr>
      <w:r>
        <w:t>B. Zum Bouqart-Gutachten (Opinionsurvey Italia, Anlage B-7)</w:t>
      </w:r>
    </w:p>
    <w:p>
      <w:r>
        <w:t>Methodische Maengel: Durchfuehrung nur in zwei italienischen Staedten (n=520), obwohl das relevante Gebiet die gesamte EU umfasst. Falsche Zielgruppe (allgemeine Bevoelkerung). Geschlossene, suggestive Fragestellung. Zeitpunkt (2026) nicht repraesentativ fuer Marktwahrnehmung zum Anmeldezeitpunkt (2019).</w:t>
      </w:r>
    </w:p>
    <w:p>
      <w:pPr>
        <w:pStyle w:val="Heading2"/>
      </w:pPr>
      <w:r>
        <w:t>C. Nachweis Verkehrsdurchsetzung (Art. 7 Abs. 3 UMV -- hilfsweise)</w:t>
      </w:r>
    </w:p>
    <w:p>
      <w:r>
        <w:t>GfK SE Nurnberg (April/Mai 2026, n=1.847, Zielgruppe: Gartenbesitzer mit Kaufhistorie): 34 % korrekte Herkunftszuordnung 'Leichtenstein'; weitere 18 % partielle Zuordnung = 52 % Verkehrsgeltung bei der relevanten Zielgruppe (uebertrifft EUIPO-Richtwert ca. 50 %). Umsatznachweise 2019-2024: 1,75 bis 2,54 Mio. EUR/Jahr. Werbeinvestitionen: 58.000 bis 142.000 EUR/Jahr. Sieben Fachhandels-Bestaetigungsschreiben aus D/A/CH/B/NL/F.</w:t>
      </w:r>
    </w:p>
    <w:p>
      <w:pPr>
        <w:pStyle w:val="Heading1"/>
      </w:pPr>
      <w:r>
        <w:t>IV. Formalien</w:t>
      </w:r>
    </w:p>
    <w:p>
      <w:r>
        <w:t>Eingereicht fristgerecht (Frist: 15.07.2026). Verfahrenssprache: Deutsch (Art. 146 EUTMR). Kein Antrag auf muendliche Verhandlung.</w:t>
      </w:r>
    </w:p>
    <w:p/>
    <w:p>
      <w:pPr>
        <w:jc w:val="right"/>
      </w:pPr>
      <w:r>
        <w:t>Mannheim, 08. Juli 2026</w:t>
      </w:r>
    </w:p>
    <w:p>
      <w:pPr>
        <w:jc w:val="right"/>
      </w:pPr>
      <w:r>
        <w:t>PA Dr. Volkmar Trautmann</w:t>
      </w:r>
    </w:p>
    <w:p>
      <w:r>
        <w:t>(Kanzlei Dr. Volkmar Trautmann &amp; Coll.)</w:t>
      </w:r>
    </w:p>
    <w:p/>
    <w:p>
      <w:r>
        <w:t>Anlagen: M-1 GfK-Gutachten · M-2 bis M-7 Presseberichte · M-8 bis M-11 Messe-Nachweise · M-12 Umsatznachweise 2019-2024 · M-13 Registerauszug EUIPO · M-14 bis M-32 Marktrecherche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EUIPO Beschwerdegegenschrift R 1322/26-2</dc:title>
  <dc:subject/>
  <dc:creator>PA Dr. Volkmar Trautmann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