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jc w:val="center"/>
      </w:pPr>
      <w:r>
        <w:rPr>
          <w:rFonts w:ascii="Calibri" w:cs="Calibri" w:eastAsia="Calibri" w:hAnsi="Calibri"/>
          <w:b/>
          <w:bCs/>
          <w:sz w:val="36"/>
          <w:szCs w:val="36"/>
        </w:rPr>
        <w:t xml:space="preserve">AUFSICHTSRATSVORLAGE</w:t>
      </w:r>
    </w:p>
    <w:p>
      <w:pPr>
        <w:spacing w:after="400"/>
        <w:jc w:val="center"/>
      </w:pPr>
      <w:r>
        <w:rPr>
          <w:rFonts w:ascii="Calibri" w:cs="Calibri" w:eastAsia="Calibri" w:hAnsi="Calibri"/>
          <w:sz w:val="22"/>
          <w:szCs w:val="22"/>
        </w:rPr>
        <w:t xml:space="preserve">Zustimmung nach § 111 Abs. 4 AktG i.V.m. § 5 Abs. 2 lit. f Vorstandsgeschäftsordnung</w:t>
      </w:r>
    </w:p>
    <w:p>
      <w:pPr>
        <w:spacing w:after="80"/>
      </w:pPr>
      <w:r>
        <w:rPr>
          <w:rFonts w:ascii="Calibri" w:cs="Calibri" w:eastAsia="Calibri" w:hAnsi="Calibri"/>
          <w:b/>
          <w:bCs/>
          <w:sz w:val="20"/>
          <w:szCs w:val="20"/>
        </w:rPr>
        <w:t xml:space="preserve">An: </w:t>
      </w:r>
      <w:r>
        <w:rPr>
          <w:rFonts w:ascii="Calibri" w:cs="Calibri" w:eastAsia="Calibri" w:hAnsi="Calibri"/>
          <w:sz w:val="20"/>
          <w:szCs w:val="20"/>
        </w:rPr>
        <w:t xml:space="preserve">Aufsichtsrat der Volkenrath Energie SE</w:t>
      </w:r>
    </w:p>
    <w:p>
      <w:pPr>
        <w:spacing w:after="80"/>
      </w:pPr>
      <w:r>
        <w:rPr>
          <w:rFonts w:ascii="Calibri" w:cs="Calibri" w:eastAsia="Calibri" w:hAnsi="Calibri"/>
          <w:b/>
          <w:bCs/>
          <w:sz w:val="20"/>
          <w:szCs w:val="20"/>
        </w:rPr>
        <w:t xml:space="preserve">Von: </w:t>
      </w:r>
      <w:r>
        <w:rPr>
          <w:rFonts w:ascii="Calibri" w:cs="Calibri" w:eastAsia="Calibri" w:hAnsi="Calibri"/>
          <w:sz w:val="20"/>
          <w:szCs w:val="20"/>
        </w:rPr>
        <w:t xml:space="preserve">Vorstand (Dr. Reginald Volkenrath / Dr. Sabine Hagenburg / Marc Lattermann)</w:t>
      </w:r>
    </w:p>
    <w:p>
      <w:pPr>
        <w:spacing w:after="80"/>
      </w:pPr>
      <w:r>
        <w:rPr>
          <w:rFonts w:ascii="Calibri" w:cs="Calibri" w:eastAsia="Calibri" w:hAnsi="Calibri"/>
          <w:b/>
          <w:bCs/>
          <w:sz w:val="20"/>
          <w:szCs w:val="20"/>
        </w:rPr>
        <w:t xml:space="preserve">Datum: </w:t>
      </w:r>
      <w:r>
        <w:rPr>
          <w:rFonts w:ascii="Calibri" w:cs="Calibri" w:eastAsia="Calibri" w:hAnsi="Calibri"/>
          <w:sz w:val="20"/>
          <w:szCs w:val="20"/>
        </w:rPr>
        <w:t xml:space="preserve">18. Mai 2026</w:t>
      </w:r>
    </w:p>
    <w:p>
      <w:pPr>
        <w:spacing w:after="80"/>
      </w:pPr>
      <w:r>
        <w:rPr>
          <w:rFonts w:ascii="Calibri" w:cs="Calibri" w:eastAsia="Calibri" w:hAnsi="Calibri"/>
          <w:b/>
          <w:bCs/>
          <w:sz w:val="20"/>
          <w:szCs w:val="20"/>
        </w:rPr>
        <w:t xml:space="preserve">Tagesordnungspunkt: </w:t>
      </w:r>
      <w:r>
        <w:rPr>
          <w:rFonts w:ascii="Calibri" w:cs="Calibri" w:eastAsia="Calibri" w:hAnsi="Calibri"/>
          <w:sz w:val="20"/>
          <w:szCs w:val="20"/>
        </w:rPr>
        <w:t xml:space="preserve">Asset-Deal Pipeline Northsea Ltd. (FST-2026-0918)</w:t>
      </w:r>
    </w:p>
    <w:p>
      <w:pPr>
        <w:spacing w:after="200"/>
      </w:pPr>
    </w:p>
    <w:p>
      <w:pPr>
        <w:pStyle w:val="Heading1"/>
        <w:spacing w:after="200" w:before="300"/>
      </w:pPr>
      <w:r>
        <w:t xml:space="preserve">I. Antrag</w:t>
      </w:r>
    </w:p>
    <w:p>
      <w:pPr>
        <w:spacing w:after="120"/>
      </w:pPr>
      <w:r>
        <w:rPr>
          <w:rFonts w:ascii="Calibri" w:cs="Calibri" w:eastAsia="Calibri" w:hAnsi="Calibri"/>
          <w:sz w:val="22"/>
          <w:szCs w:val="22"/>
        </w:rPr>
        <w:t xml:space="preserve">Der Vorstand der Volkenrath Energie SE beantragt die Zustimmung des Aufsichtsrats zum Erwerb sämtlicher Betriebsvermögensgegenstände der Pipeline Northsea Ltd., Registered in England and Wales, Company No. 04782193, von der Caledonian Industrial Holdings plc (Edinburgh) im Wege eines Asset-Deals.</w:t>
      </w:r>
    </w:p>
    <w:p>
      <w:pPr>
        <w:pStyle w:val="Heading1"/>
        <w:spacing w:after="200" w:before="300"/>
      </w:pPr>
      <w:r>
        <w:t xml:space="preserve">II. Strategische Begründung</w:t>
      </w:r>
    </w:p>
    <w:p>
      <w:pPr>
        <w:spacing w:after="120"/>
      </w:pPr>
      <w:r>
        <w:rPr>
          <w:rFonts w:ascii="Calibri" w:cs="Calibri" w:eastAsia="Calibri" w:hAnsi="Calibri"/>
          <w:sz w:val="22"/>
          <w:szCs w:val="22"/>
        </w:rPr>
        <w:t xml:space="preserve">Die Ammoniak-Pipeline Northsea-West ist die einzige wirtschaftlich nutzbare Transportinfrastruktur für Ammoniak zwischen Nordsee-Offshoreproduktion und deutschen Industriekunden. Durch den Erwerb sichert die Volkenrath Energie SE eine strategische Versorgungsachse, die für die Umsetzung der Strategie 2030 (Expansion im Bereich grüner Ammoniak) unverzichtbar ist.</w:t>
      </w:r>
    </w:p>
    <w:p>
      <w:pPr>
        <w:spacing w:after="120"/>
      </w:pPr>
      <w:r>
        <w:rPr>
          <w:rFonts w:ascii="Calibri" w:cs="Calibri" w:eastAsia="Calibri" w:hAnsi="Calibri"/>
          <w:sz w:val="22"/>
          <w:szCs w:val="22"/>
        </w:rPr>
        <w:t xml:space="preserve">Der Erwerb stärkt die Marktposition der Volkenrath Energie SE im Wachstumsmarkt grüner Ammoniak erheblich und schafft Voraussetzungen für die Erfüllung bestehender Lieferverträge mit deutschen Industriekunden (Gesamtvolumen ca. EUR 890.000.000 p.a.).</w:t>
      </w:r>
    </w:p>
    <w:p>
      <w:pPr>
        <w:pStyle w:val="Heading1"/>
        <w:spacing w:after="200" w:before="300"/>
      </w:pPr>
      <w:r>
        <w:t xml:space="preserve">III. Transaktionsparameter</w:t>
      </w:r>
    </w:p>
    <w:tbl>
      <w:tblPr>
        <w:tblW w:type="dxa" w:w="10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c>
          <w:tcPr>
            <w:tcW w:type="dxa" w:w="5000"/>
          </w:tcPr>
          <w:p>
            <w:r>
              <w:rPr>
                <w:rFonts w:ascii="Calibri" w:cs="Calibri" w:eastAsia="Calibri" w:hAnsi="Calibri"/>
                <w:b/>
                <w:bCs/>
                <w:sz w:val="20"/>
                <w:szCs w:val="20"/>
              </w:rPr>
              <w:t xml:space="preserve">Parameter</w:t>
            </w:r>
          </w:p>
        </w:tc>
        <w:tc>
          <w:tcPr>
            <w:tcW w:type="dxa" w:w="5000"/>
          </w:tcPr>
          <w:p>
            <w:r>
              <w:rPr>
                <w:rFonts w:ascii="Calibri" w:cs="Calibri" w:eastAsia="Calibri" w:hAnsi="Calibri"/>
                <w:b/>
                <w:bCs/>
                <w:sz w:val="20"/>
                <w:szCs w:val="20"/>
              </w:rPr>
              <w:t xml:space="preserve">Wert</w:t>
            </w:r>
          </w:p>
        </w:tc>
      </w:tr>
      <w:tr>
        <w:tc>
          <w:tcPr>
            <w:tcW w:type="dxa" w:w="5000"/>
          </w:tcPr>
          <w:p>
            <w:r>
              <w:rPr>
                <w:rFonts w:ascii="Calibri" w:cs="Calibri" w:eastAsia="Calibri" w:hAnsi="Calibri"/>
                <w:b w:val="false"/>
                <w:bCs w:val="false"/>
                <w:sz w:val="20"/>
                <w:szCs w:val="20"/>
              </w:rPr>
              <w:t xml:space="preserve">Basiskaufpreis (Enterprise Value)</w:t>
            </w:r>
          </w:p>
        </w:tc>
        <w:tc>
          <w:tcPr>
            <w:tcW w:type="dxa" w:w="5000"/>
          </w:tcPr>
          <w:p>
            <w:r>
              <w:rPr>
                <w:rFonts w:ascii="Calibri" w:cs="Calibri" w:eastAsia="Calibri" w:hAnsi="Calibri"/>
                <w:b w:val="false"/>
                <w:bCs w:val="false"/>
                <w:sz w:val="20"/>
                <w:szCs w:val="20"/>
              </w:rPr>
              <w:t xml:space="preserve">EUR 8.750.000.000</w:t>
            </w:r>
          </w:p>
        </w:tc>
      </w:tr>
      <w:tr>
        <w:tc>
          <w:tcPr>
            <w:tcW w:type="dxa" w:w="5000"/>
          </w:tcPr>
          <w:p>
            <w:r>
              <w:rPr>
                <w:rFonts w:ascii="Calibri" w:cs="Calibri" w:eastAsia="Calibri" w:hAnsi="Calibri"/>
                <w:b w:val="false"/>
                <w:bCs w:val="false"/>
                <w:sz w:val="20"/>
                <w:szCs w:val="20"/>
              </w:rPr>
              <w:t xml:space="preserve">Earn-Out (maximal)</w:t>
            </w:r>
          </w:p>
        </w:tc>
        <w:tc>
          <w:tcPr>
            <w:tcW w:type="dxa" w:w="5000"/>
          </w:tcPr>
          <w:p>
            <w:r>
              <w:rPr>
                <w:rFonts w:ascii="Calibri" w:cs="Calibri" w:eastAsia="Calibri" w:hAnsi="Calibri"/>
                <w:b w:val="false"/>
                <w:bCs w:val="false"/>
                <w:sz w:val="20"/>
                <w:szCs w:val="20"/>
              </w:rPr>
              <w:t xml:space="preserve">EUR 280.000.000</w:t>
            </w:r>
          </w:p>
        </w:tc>
      </w:tr>
      <w:tr>
        <w:tc>
          <w:tcPr>
            <w:tcW w:type="dxa" w:w="5000"/>
          </w:tcPr>
          <w:p>
            <w:r>
              <w:rPr>
                <w:rFonts w:ascii="Calibri" w:cs="Calibri" w:eastAsia="Calibri" w:hAnsi="Calibri"/>
                <w:b w:val="false"/>
                <w:bCs w:val="false"/>
                <w:sz w:val="20"/>
                <w:szCs w:val="20"/>
              </w:rPr>
              <w:t xml:space="preserve">Eigenkapitalanteil</w:t>
            </w:r>
          </w:p>
        </w:tc>
        <w:tc>
          <w:tcPr>
            <w:tcW w:type="dxa" w:w="5000"/>
          </w:tcPr>
          <w:p>
            <w:r>
              <w:rPr>
                <w:rFonts w:ascii="Calibri" w:cs="Calibri" w:eastAsia="Calibri" w:hAnsi="Calibri"/>
                <w:b w:val="false"/>
                <w:bCs w:val="false"/>
                <w:sz w:val="20"/>
                <w:szCs w:val="20"/>
              </w:rPr>
              <w:t xml:space="preserve">EUR 2.200.000.000</w:t>
            </w:r>
          </w:p>
        </w:tc>
      </w:tr>
      <w:tr>
        <w:tc>
          <w:tcPr>
            <w:tcW w:type="dxa" w:w="5000"/>
          </w:tcPr>
          <w:p>
            <w:r>
              <w:rPr>
                <w:rFonts w:ascii="Calibri" w:cs="Calibri" w:eastAsia="Calibri" w:hAnsi="Calibri"/>
                <w:b w:val="false"/>
                <w:bCs w:val="false"/>
                <w:sz w:val="20"/>
                <w:szCs w:val="20"/>
              </w:rPr>
              <w:t xml:space="preserve">Fremdkapital (Senior + Green Bond)</w:t>
            </w:r>
          </w:p>
        </w:tc>
        <w:tc>
          <w:tcPr>
            <w:tcW w:type="dxa" w:w="5000"/>
          </w:tcPr>
          <w:p>
            <w:r>
              <w:rPr>
                <w:rFonts w:ascii="Calibri" w:cs="Calibri" w:eastAsia="Calibri" w:hAnsi="Calibri"/>
                <w:b w:val="false"/>
                <w:bCs w:val="false"/>
                <w:sz w:val="20"/>
                <w:szCs w:val="20"/>
              </w:rPr>
              <w:t xml:space="preserve">EUR 6.000.000.000</w:t>
            </w:r>
          </w:p>
        </w:tc>
      </w:tr>
      <w:tr>
        <w:tc>
          <w:tcPr>
            <w:tcW w:type="dxa" w:w="5000"/>
          </w:tcPr>
          <w:p>
            <w:r>
              <w:rPr>
                <w:rFonts w:ascii="Calibri" w:cs="Calibri" w:eastAsia="Calibri" w:hAnsi="Calibri"/>
                <w:b w:val="false"/>
                <w:bCs w:val="false"/>
                <w:sz w:val="20"/>
                <w:szCs w:val="20"/>
              </w:rPr>
              <w:t xml:space="preserve">Escrow Altlasten</w:t>
            </w:r>
          </w:p>
        </w:tc>
        <w:tc>
          <w:tcPr>
            <w:tcW w:type="dxa" w:w="5000"/>
          </w:tcPr>
          <w:p>
            <w:r>
              <w:rPr>
                <w:rFonts w:ascii="Calibri" w:cs="Calibri" w:eastAsia="Calibri" w:hAnsi="Calibri"/>
                <w:b w:val="false"/>
                <w:bCs w:val="false"/>
                <w:sz w:val="20"/>
                <w:szCs w:val="20"/>
              </w:rPr>
              <w:t xml:space="preserve">EUR 180.000.000</w:t>
            </w:r>
          </w:p>
        </w:tc>
      </w:tr>
      <w:tr>
        <w:tc>
          <w:tcPr>
            <w:tcW w:type="dxa" w:w="5000"/>
          </w:tcPr>
          <w:p>
            <w:r>
              <w:rPr>
                <w:rFonts w:ascii="Calibri" w:cs="Calibri" w:eastAsia="Calibri" w:hAnsi="Calibri"/>
                <w:b w:val="false"/>
                <w:bCs w:val="false"/>
                <w:sz w:val="20"/>
                <w:szCs w:val="20"/>
              </w:rPr>
              <w:t xml:space="preserve">W&amp;I-Versicherung Selbstbehalt</w:t>
            </w:r>
          </w:p>
        </w:tc>
        <w:tc>
          <w:tcPr>
            <w:tcW w:type="dxa" w:w="5000"/>
          </w:tcPr>
          <w:p>
            <w:r>
              <w:rPr>
                <w:rFonts w:ascii="Calibri" w:cs="Calibri" w:eastAsia="Calibri" w:hAnsi="Calibri"/>
                <w:b w:val="false"/>
                <w:bCs w:val="false"/>
                <w:sz w:val="20"/>
                <w:szCs w:val="20"/>
              </w:rPr>
              <w:t xml:space="preserve">EUR 15.000.000</w:t>
            </w:r>
          </w:p>
        </w:tc>
      </w:tr>
      <w:tr>
        <w:tc>
          <w:tcPr>
            <w:tcW w:type="dxa" w:w="5000"/>
          </w:tcPr>
          <w:p>
            <w:r>
              <w:rPr>
                <w:rFonts w:ascii="Calibri" w:cs="Calibri" w:eastAsia="Calibri" w:hAnsi="Calibri"/>
                <w:b w:val="false"/>
                <w:bCs w:val="false"/>
                <w:sz w:val="20"/>
                <w:szCs w:val="20"/>
              </w:rPr>
              <w:t xml:space="preserve">Exklusivitätsfrist</w:t>
            </w:r>
          </w:p>
        </w:tc>
        <w:tc>
          <w:tcPr>
            <w:tcW w:type="dxa" w:w="5000"/>
          </w:tcPr>
          <w:p>
            <w:r>
              <w:rPr>
                <w:rFonts w:ascii="Calibri" w:cs="Calibri" w:eastAsia="Calibri" w:hAnsi="Calibri"/>
                <w:b w:val="false"/>
                <w:bCs w:val="false"/>
                <w:sz w:val="20"/>
                <w:szCs w:val="20"/>
              </w:rPr>
              <w:t xml:space="preserve">bis 30. Juni 2026</w:t>
            </w:r>
          </w:p>
        </w:tc>
      </w:tr>
      <w:tr>
        <w:tc>
          <w:tcPr>
            <w:tcW w:type="dxa" w:w="5000"/>
          </w:tcPr>
          <w:p>
            <w:r>
              <w:rPr>
                <w:rFonts w:ascii="Calibri" w:cs="Calibri" w:eastAsia="Calibri" w:hAnsi="Calibri"/>
                <w:b w:val="false"/>
                <w:bCs w:val="false"/>
                <w:sz w:val="20"/>
                <w:szCs w:val="20"/>
              </w:rPr>
              <w:t xml:space="preserve">Geplantes Signing</w:t>
            </w:r>
          </w:p>
        </w:tc>
        <w:tc>
          <w:tcPr>
            <w:tcW w:type="dxa" w:w="5000"/>
          </w:tcPr>
          <w:p>
            <w:r>
              <w:rPr>
                <w:rFonts w:ascii="Calibri" w:cs="Calibri" w:eastAsia="Calibri" w:hAnsi="Calibri"/>
                <w:b w:val="false"/>
                <w:bCs w:val="false"/>
                <w:sz w:val="20"/>
                <w:szCs w:val="20"/>
              </w:rPr>
              <w:t xml:space="preserve">20. Juni 2026</w:t>
            </w:r>
          </w:p>
        </w:tc>
      </w:tr>
      <w:tr>
        <w:tc>
          <w:tcPr>
            <w:tcW w:type="dxa" w:w="5000"/>
          </w:tcPr>
          <w:p>
            <w:r>
              <w:rPr>
                <w:rFonts w:ascii="Calibri" w:cs="Calibri" w:eastAsia="Calibri" w:hAnsi="Calibri"/>
                <w:b w:val="false"/>
                <w:bCs w:val="false"/>
                <w:sz w:val="20"/>
                <w:szCs w:val="20"/>
              </w:rPr>
              <w:t xml:space="preserve">Geplantes Closing</w:t>
            </w:r>
          </w:p>
        </w:tc>
        <w:tc>
          <w:tcPr>
            <w:tcW w:type="dxa" w:w="5000"/>
          </w:tcPr>
          <w:p>
            <w:r>
              <w:rPr>
                <w:rFonts w:ascii="Calibri" w:cs="Calibri" w:eastAsia="Calibri" w:hAnsi="Calibri"/>
                <w:b w:val="false"/>
                <w:bCs w:val="false"/>
                <w:sz w:val="20"/>
                <w:szCs w:val="20"/>
              </w:rPr>
              <w:t xml:space="preserve">1. September 2026</w:t>
            </w:r>
          </w:p>
        </w:tc>
      </w:tr>
    </w:tbl>
    <w:p>
      <w:pPr>
        <w:spacing w:after="200"/>
      </w:pPr>
    </w:p>
    <w:p>
      <w:pPr>
        <w:pStyle w:val="Heading1"/>
        <w:spacing w:after="200" w:before="300"/>
      </w:pPr>
      <w:r>
        <w:t xml:space="preserve">IV. Wesentliche Risiken und Mitigationsmaßnahmen</w:t>
      </w:r>
    </w:p>
    <w:tbl>
      <w:tblPr>
        <w:tblW w:type="dxa" w:w="100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tblGrid>
      <w:tr>
        <w:tc>
          <w:tcPr>
            <w:tcW w:type="dxa" w:w="3333"/>
          </w:tcPr>
          <w:p>
            <w:r>
              <w:rPr>
                <w:rFonts w:ascii="Calibri" w:cs="Calibri" w:eastAsia="Calibri" w:hAnsi="Calibri"/>
                <w:b/>
                <w:bCs/>
                <w:sz w:val="20"/>
                <w:szCs w:val="20"/>
              </w:rPr>
              <w:t xml:space="preserve">Risiko</w:t>
            </w:r>
          </w:p>
        </w:tc>
        <w:tc>
          <w:tcPr>
            <w:tcW w:type="dxa" w:w="3333"/>
          </w:tcPr>
          <w:p>
            <w:r>
              <w:rPr>
                <w:rFonts w:ascii="Calibri" w:cs="Calibri" w:eastAsia="Calibri" w:hAnsi="Calibri"/>
                <w:b/>
                <w:bCs/>
                <w:sz w:val="20"/>
                <w:szCs w:val="20"/>
              </w:rPr>
              <w:t xml:space="preserve">Risikostufe</w:t>
            </w:r>
          </w:p>
        </w:tc>
        <w:tc>
          <w:tcPr>
            <w:tcW w:type="dxa" w:w="3333"/>
          </w:tcPr>
          <w:p>
            <w:r>
              <w:rPr>
                <w:rFonts w:ascii="Calibri" w:cs="Calibri" w:eastAsia="Calibri" w:hAnsi="Calibri"/>
                <w:b/>
                <w:bCs/>
                <w:sz w:val="20"/>
                <w:szCs w:val="20"/>
              </w:rPr>
              <w:t xml:space="preserve">Mitigationsmaßnahme</w:t>
            </w:r>
          </w:p>
        </w:tc>
      </w:tr>
      <w:tr>
        <w:tc>
          <w:tcPr>
            <w:tcW w:type="dxa" w:w="3333"/>
          </w:tcPr>
          <w:p>
            <w:r>
              <w:rPr>
                <w:rFonts w:ascii="Calibri" w:cs="Calibri" w:eastAsia="Calibri" w:hAnsi="Calibri"/>
                <w:b w:val="false"/>
                <w:bCs w:val="false"/>
                <w:sz w:val="20"/>
                <w:szCs w:val="20"/>
              </w:rPr>
              <w:t xml:space="preserve">Altlasten Helgoland-Vorgelagert</w:t>
            </w:r>
          </w:p>
        </w:tc>
        <w:tc>
          <w:tcPr>
            <w:tcW w:type="dxa" w:w="3333"/>
          </w:tcPr>
          <w:p>
            <w:r>
              <w:rPr>
                <w:rFonts w:ascii="Calibri" w:cs="Calibri" w:eastAsia="Calibri" w:hAnsi="Calibri"/>
                <w:b w:val="false"/>
                <w:bCs w:val="false"/>
                <w:sz w:val="20"/>
                <w:szCs w:val="20"/>
              </w:rPr>
              <w:t xml:space="preserve">Sehr hoch</w:t>
            </w:r>
          </w:p>
        </w:tc>
        <w:tc>
          <w:tcPr>
            <w:tcW w:type="dxa" w:w="3333"/>
          </w:tcPr>
          <w:p>
            <w:r>
              <w:rPr>
                <w:rFonts w:ascii="Calibri" w:cs="Calibri" w:eastAsia="Calibri" w:hAnsi="Calibri"/>
                <w:b w:val="false"/>
                <w:bCs w:val="false"/>
                <w:sz w:val="20"/>
                <w:szCs w:val="20"/>
              </w:rPr>
              <w:t xml:space="preserve">Escrow EUR 180 Mio.; Phase-II-Audit Bremerhöfer</w:t>
            </w:r>
          </w:p>
        </w:tc>
      </w:tr>
      <w:tr>
        <w:tc>
          <w:tcPr>
            <w:tcW w:type="dxa" w:w="3333"/>
          </w:tcPr>
          <w:p>
            <w:r>
              <w:rPr>
                <w:rFonts w:ascii="Calibri" w:cs="Calibri" w:eastAsia="Calibri" w:hAnsi="Calibri"/>
                <w:b w:val="false"/>
                <w:bCs w:val="false"/>
                <w:sz w:val="20"/>
                <w:szCs w:val="20"/>
              </w:rPr>
              <w:t xml:space="preserve">AWG-Investitionspruefung BMWK</w:t>
            </w:r>
          </w:p>
        </w:tc>
        <w:tc>
          <w:tcPr>
            <w:tcW w:type="dxa" w:w="3333"/>
          </w:tcPr>
          <w:p>
            <w:r>
              <w:rPr>
                <w:rFonts w:ascii="Calibri" w:cs="Calibri" w:eastAsia="Calibri" w:hAnsi="Calibri"/>
                <w:b w:val="false"/>
                <w:bCs w:val="false"/>
                <w:sz w:val="20"/>
                <w:szCs w:val="20"/>
              </w:rPr>
              <w:t xml:space="preserve">Sehr hoch</w:t>
            </w:r>
          </w:p>
        </w:tc>
        <w:tc>
          <w:tcPr>
            <w:tcW w:type="dxa" w:w="3333"/>
          </w:tcPr>
          <w:p>
            <w:r>
              <w:rPr>
                <w:rFonts w:ascii="Calibri" w:cs="Calibri" w:eastAsia="Calibri" w:hAnsi="Calibri"/>
                <w:b w:val="false"/>
                <w:bCs w:val="false"/>
                <w:sz w:val="20"/>
                <w:szCs w:val="20"/>
              </w:rPr>
              <w:t xml:space="preserve">BMWK-Gespraech; SCADA-Dienstleister-Wechsel als Zusage</w:t>
            </w:r>
          </w:p>
        </w:tc>
      </w:tr>
      <w:tr>
        <w:tc>
          <w:tcPr>
            <w:tcW w:type="dxa" w:w="3333"/>
          </w:tcPr>
          <w:p>
            <w:r>
              <w:rPr>
                <w:rFonts w:ascii="Calibri" w:cs="Calibri" w:eastAsia="Calibri" w:hAnsi="Calibri"/>
                <w:b w:val="false"/>
                <w:bCs w:val="false"/>
                <w:sz w:val="20"/>
                <w:szCs w:val="20"/>
              </w:rPr>
              <w:t xml:space="preserve">BKartA Phase-2-Verfahren</w:t>
            </w:r>
          </w:p>
        </w:tc>
        <w:tc>
          <w:tcPr>
            <w:tcW w:type="dxa" w:w="3333"/>
          </w:tcPr>
          <w:p>
            <w:r>
              <w:rPr>
                <w:rFonts w:ascii="Calibri" w:cs="Calibri" w:eastAsia="Calibri" w:hAnsi="Calibri"/>
                <w:b w:val="false"/>
                <w:bCs w:val="false"/>
                <w:sz w:val="20"/>
                <w:szCs w:val="20"/>
              </w:rPr>
              <w:t xml:space="preserve">Hoch</w:t>
            </w:r>
          </w:p>
        </w:tc>
        <w:tc>
          <w:tcPr>
            <w:tcW w:type="dxa" w:w="3333"/>
          </w:tcPr>
          <w:p>
            <w:r>
              <w:rPr>
                <w:rFonts w:ascii="Calibri" w:cs="Calibri" w:eastAsia="Calibri" w:hAnsi="Calibri"/>
                <w:b w:val="false"/>
                <w:bCs w:val="false"/>
                <w:sz w:val="20"/>
                <w:szCs w:val="20"/>
              </w:rPr>
              <w:t xml:space="preserve">Remedies-Konzept; Pre-Notification 18. Mai 2026</w:t>
            </w:r>
          </w:p>
        </w:tc>
      </w:tr>
      <w:tr>
        <w:tc>
          <w:tcPr>
            <w:tcW w:type="dxa" w:w="3333"/>
          </w:tcPr>
          <w:p>
            <w:r>
              <w:rPr>
                <w:rFonts w:ascii="Calibri" w:cs="Calibri" w:eastAsia="Calibri" w:hAnsi="Calibri"/>
                <w:b w:val="false"/>
                <w:bCs w:val="false"/>
                <w:sz w:val="20"/>
                <w:szCs w:val="20"/>
              </w:rPr>
              <w:t xml:space="preserve">CMA Phase-2-Verfahren</w:t>
            </w:r>
          </w:p>
        </w:tc>
        <w:tc>
          <w:tcPr>
            <w:tcW w:type="dxa" w:w="3333"/>
          </w:tcPr>
          <w:p>
            <w:r>
              <w:rPr>
                <w:rFonts w:ascii="Calibri" w:cs="Calibri" w:eastAsia="Calibri" w:hAnsi="Calibri"/>
                <w:b w:val="false"/>
                <w:bCs w:val="false"/>
                <w:sz w:val="20"/>
                <w:szCs w:val="20"/>
              </w:rPr>
              <w:t xml:space="preserve">Hoch</w:t>
            </w:r>
          </w:p>
        </w:tc>
        <w:tc>
          <w:tcPr>
            <w:tcW w:type="dxa" w:w="3333"/>
          </w:tcPr>
          <w:p>
            <w:r>
              <w:rPr>
                <w:rFonts w:ascii="Calibri" w:cs="Calibri" w:eastAsia="Calibri" w:hAnsi="Calibri"/>
                <w:b w:val="false"/>
                <w:bCs w:val="false"/>
                <w:sz w:val="20"/>
                <w:szCs w:val="20"/>
              </w:rPr>
              <w:t xml:space="preserve">Pre-Notification; UK Counsel Bearboe &amp; Harrington</w:t>
            </w:r>
          </w:p>
        </w:tc>
      </w:tr>
      <w:tr>
        <w:tc>
          <w:tcPr>
            <w:tcW w:type="dxa" w:w="3333"/>
          </w:tcPr>
          <w:p>
            <w:r>
              <w:rPr>
                <w:rFonts w:ascii="Calibri" w:cs="Calibri" w:eastAsia="Calibri" w:hAnsi="Calibri"/>
                <w:b w:val="false"/>
                <w:bCs w:val="false"/>
                <w:sz w:val="20"/>
                <w:szCs w:val="20"/>
              </w:rPr>
              <w:t xml:space="preserve">Konkurrenz-Bieter BioNova Chemie AG</w:t>
            </w:r>
          </w:p>
        </w:tc>
        <w:tc>
          <w:tcPr>
            <w:tcW w:type="dxa" w:w="3333"/>
          </w:tcPr>
          <w:p>
            <w:r>
              <w:rPr>
                <w:rFonts w:ascii="Calibri" w:cs="Calibri" w:eastAsia="Calibri" w:hAnsi="Calibri"/>
                <w:b w:val="false"/>
                <w:bCs w:val="false"/>
                <w:sz w:val="20"/>
                <w:szCs w:val="20"/>
              </w:rPr>
              <w:t xml:space="preserve">Hoch</w:t>
            </w:r>
          </w:p>
        </w:tc>
        <w:tc>
          <w:tcPr>
            <w:tcW w:type="dxa" w:w="3333"/>
          </w:tcPr>
          <w:p>
            <w:r>
              <w:rPr>
                <w:rFonts w:ascii="Calibri" w:cs="Calibri" w:eastAsia="Calibri" w:hAnsi="Calibri"/>
                <w:b w:val="false"/>
                <w:bCs w:val="false"/>
                <w:sz w:val="20"/>
                <w:szCs w:val="20"/>
              </w:rPr>
              <w:t xml:space="preserve">Exklusivitaetsvereinbarung; beschleunigtes Signing</w:t>
            </w:r>
          </w:p>
        </w:tc>
      </w:tr>
      <w:tr>
        <w:tc>
          <w:tcPr>
            <w:tcW w:type="dxa" w:w="3333"/>
          </w:tcPr>
          <w:p>
            <w:r>
              <w:rPr>
                <w:rFonts w:ascii="Calibri" w:cs="Calibri" w:eastAsia="Calibri" w:hAnsi="Calibri"/>
                <w:b w:val="false"/>
                <w:bCs w:val="false"/>
                <w:sz w:val="20"/>
                <w:szCs w:val="20"/>
              </w:rPr>
              <w:t xml:space="preserve">Zinsschranke § 4h EStG</w:t>
            </w:r>
          </w:p>
        </w:tc>
        <w:tc>
          <w:tcPr>
            <w:tcW w:type="dxa" w:w="3333"/>
          </w:tcPr>
          <w:p>
            <w:r>
              <w:rPr>
                <w:rFonts w:ascii="Calibri" w:cs="Calibri" w:eastAsia="Calibri" w:hAnsi="Calibri"/>
                <w:b w:val="false"/>
                <w:bCs w:val="false"/>
                <w:sz w:val="20"/>
                <w:szCs w:val="20"/>
              </w:rPr>
              <w:t xml:space="preserve">Mittel</w:t>
            </w:r>
          </w:p>
        </w:tc>
        <w:tc>
          <w:tcPr>
            <w:tcW w:type="dxa" w:w="3333"/>
          </w:tcPr>
          <w:p>
            <w:r>
              <w:rPr>
                <w:rFonts w:ascii="Calibri" w:cs="Calibri" w:eastAsia="Calibri" w:hAnsi="Calibri"/>
                <w:b w:val="false"/>
                <w:bCs w:val="false"/>
                <w:sz w:val="20"/>
                <w:szCs w:val="20"/>
              </w:rPr>
              <w:t xml:space="preserve">Steuerliche Modellierung; GmbH-Vehikel</w:t>
            </w:r>
          </w:p>
        </w:tc>
      </w:tr>
    </w:tbl>
    <w:p>
      <w:pPr>
        <w:spacing w:after="200"/>
      </w:pPr>
    </w:p>
    <w:p>
      <w:pPr>
        <w:pStyle w:val="Heading1"/>
        <w:spacing w:after="200" w:before="300"/>
      </w:pPr>
      <w:r>
        <w:t xml:space="preserve">V. Rechtsgrundlagen</w:t>
      </w:r>
    </w:p>
    <w:p>
      <w:pPr>
        <w:spacing w:after="120"/>
      </w:pPr>
      <w:r>
        <w:rPr>
          <w:rFonts w:ascii="Calibri" w:cs="Calibri" w:eastAsia="Calibri" w:hAnsi="Calibri"/>
          <w:sz w:val="22"/>
          <w:szCs w:val="22"/>
        </w:rPr>
        <w:t xml:space="preserve">§ 111 Abs. 4 AktG — Zustimmungspflicht des Aufsichtsrats für Geschäfte von besonderer Bedeutung</w:t>
      </w:r>
    </w:p>
    <w:p>
      <w:pPr>
        <w:spacing w:after="120"/>
      </w:pPr>
      <w:r>
        <w:rPr>
          <w:rFonts w:ascii="Calibri" w:cs="Calibri" w:eastAsia="Calibri" w:hAnsi="Calibri"/>
          <w:sz w:val="22"/>
          <w:szCs w:val="22"/>
        </w:rPr>
        <w:t xml:space="preserve">§ 93 AktG — Sorgfaltspflicht und Verantwortlichkeit des Vorstands</w:t>
      </w:r>
    </w:p>
    <w:p>
      <w:pPr>
        <w:spacing w:after="120"/>
      </w:pPr>
      <w:r>
        <w:rPr>
          <w:rFonts w:ascii="Calibri" w:cs="Calibri" w:eastAsia="Calibri" w:hAnsi="Calibri"/>
          <w:sz w:val="22"/>
          <w:szCs w:val="22"/>
        </w:rPr>
        <w:t xml:space="preserve">BGH-Urteil BGHZ 159, 30 (Gelatine) — Hauptversammlungszuständigkeit bei grundlegenden Strukturentscheidungen</w:t>
      </w:r>
    </w:p>
    <w:p>
      <w:pPr>
        <w:pStyle w:val="Heading1"/>
        <w:spacing w:after="200" w:before="300"/>
      </w:pPr>
      <w:r>
        <w:t xml:space="preserve">VI. Empfehlung des Vorstands</w:t>
      </w:r>
    </w:p>
    <w:p>
      <w:pPr>
        <w:spacing w:after="120"/>
      </w:pPr>
      <w:r>
        <w:rPr>
          <w:rFonts w:ascii="Calibri" w:cs="Calibri" w:eastAsia="Calibri" w:hAnsi="Calibri"/>
          <w:sz w:val="22"/>
          <w:szCs w:val="22"/>
        </w:rPr>
        <w:t xml:space="preserve">Der Vorstand empfiehlt dem Aufsichtsrat, dem vorgelegten Asset-Deal unter den nachstehenden Bedingungen zuzustimmen:</w:t>
      </w:r>
    </w:p>
    <w:p>
      <w:pPr>
        <w:spacing w:after="120"/>
      </w:pPr>
      <w:r>
        <w:rPr>
          <w:rFonts w:ascii="Calibri" w:cs="Calibri" w:eastAsia="Calibri" w:hAnsi="Calibri"/>
          <w:sz w:val="22"/>
          <w:szCs w:val="22"/>
        </w:rPr>
        <w:t xml:space="preserve">1. Das Phase-II-Umweltaudit weist keine Sanierungskosten über EUR 200.000.000 aus.</w:t>
      </w:r>
    </w:p>
    <w:p>
      <w:pPr>
        <w:spacing w:after="120"/>
      </w:pPr>
      <w:r>
        <w:rPr>
          <w:rFonts w:ascii="Calibri" w:cs="Calibri" w:eastAsia="Calibri" w:hAnsi="Calibri"/>
          <w:sz w:val="22"/>
          <w:szCs w:val="22"/>
        </w:rPr>
        <w:t xml:space="preserve">2. Das BMWK erteilt die AWG-Freigabe ohne Deal-Breaker-Auflagen.</w:t>
      </w:r>
    </w:p>
    <w:p>
      <w:pPr>
        <w:spacing w:after="120"/>
      </w:pPr>
      <w:r>
        <w:rPr>
          <w:rFonts w:ascii="Calibri" w:cs="Calibri" w:eastAsia="Calibri" w:hAnsi="Calibri"/>
          <w:sz w:val="22"/>
          <w:szCs w:val="22"/>
        </w:rPr>
        <w:t xml:space="preserve">3. Der endverhandelte Basiskaufpreis übersteigt EUR 9.000.000.000 nicht.</w:t>
      </w:r>
    </w:p>
    <w:p>
      <w:pPr>
        <w:spacing w:after="300"/>
      </w:pPr>
    </w:p>
    <w:p>
      <w:pPr>
        <w:spacing w:after="120"/>
      </w:pPr>
      <w:r>
        <w:rPr>
          <w:rFonts w:ascii="Calibri" w:cs="Calibri" w:eastAsia="Calibri" w:hAnsi="Calibri"/>
          <w:b/>
          <w:bCs/>
          <w:sz w:val="22"/>
          <w:szCs w:val="22"/>
        </w:rPr>
        <w:t xml:space="preserve">Dr. Reginald Volkenrath (CEO) | Dr. Sabine Hagenburg (CFO) | Marc Lattermann (COO)</w:t>
      </w:r>
    </w:p>
    <w:p>
      <w:pPr>
        <w:spacing w:after="120"/>
      </w:pPr>
      <w:r>
        <w:rPr>
          <w:rFonts w:ascii="Calibri" w:cs="Calibri" w:eastAsia="Calibri" w:hAnsi="Calibri"/>
          <w:b/>
          <w:bCs/>
          <w:sz w:val="22"/>
          <w:szCs w:val="22"/>
        </w:rPr>
        <w:t xml:space="preserve">Volkenrath Energie SE, Hannover, 18. Mai 2026</w:t>
      </w:r>
    </w:p>
    <w:p>
      <w:pPr>
        <w:spacing w:after="100"/>
      </w:pPr>
    </w:p>
    <w:p>
      <w:pPr>
        <w:spacing w:after="120"/>
      </w:pPr>
      <w:r>
        <w:rPr>
          <w:rFonts w:ascii="Calibri" w:cs="Calibri" w:eastAsia="Calibri" w:hAnsi="Calibri"/>
          <w:sz w:val="22"/>
          <w:szCs w:val="22"/>
        </w:rPr>
        <w:t xml:space="preserve">Beratung: Federkamp Steinheim Tannenfels mbB, Hannover (FST-2026-0918)</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Aufsichtsratsvorlage Volkenrath Energie SE — Asset-Deal Pipeline Northsea</dc:title>
  <dc:creator>Volkenrath Energie SE / FST</dc:creator>
  <cp:lastModifiedBy>Un-named</cp:lastModifiedBy>
  <cp:revision>1</cp:revision>
  <dcterms:created xsi:type="dcterms:W3CDTF">2026-05-30T19:36:00.103Z</dcterms:created>
  <dcterms:modified xsi:type="dcterms:W3CDTF">2026-05-30T19:36:00.103Z</dcterms:modified>
</cp:coreProperties>
</file>

<file path=docProps/custom.xml><?xml version="1.0" encoding="utf-8"?>
<Properties xmlns="http://schemas.openxmlformats.org/officeDocument/2006/custom-properties" xmlns:vt="http://schemas.openxmlformats.org/officeDocument/2006/docPropsVTypes"/>
</file>