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jc w:val="center"/>
      </w:pPr>
      <w:r>
        <w:rPr>
          <w:rFonts w:ascii="Calibri" w:cs="Calibri" w:eastAsia="Calibri" w:hAnsi="Calibri"/>
          <w:b/>
          <w:bCs/>
          <w:color w:val="990000"/>
          <w:sz w:val="18"/>
          <w:szCs w:val="18"/>
        </w:rPr>
        <w:t xml:space="preserve">VERTRAULICH — NUR FÜR INTERNE VERWENDUNG</w:t>
      </w:r>
    </w:p>
    <w:p>
      <w:pPr>
        <w:spacing w:after="200"/>
      </w:pP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40"/>
          <w:szCs w:val="40"/>
        </w:rPr>
        <w:t xml:space="preserve">JURISTISCHES MEMORANDUM</w:t>
      </w:r>
    </w:p>
    <w:p>
      <w:pPr>
        <w:spacing w:after="4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Asset-Deal Volkenrath Energie SE / Pipeline Northsea Ltd.</w:t>
      </w:r>
    </w:p>
    <w:p>
      <w:pPr>
        <w:spacing w:after="100"/>
      </w:pPr>
    </w:p>
    <w:p>
      <w:pPr>
        <w:spacing w:after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Aktenzeichen: </w:t>
      </w:r>
      <w:r>
        <w:rPr>
          <w:rFonts w:ascii="Calibri" w:cs="Calibri" w:eastAsia="Calibri" w:hAnsi="Calibri"/>
          <w:sz w:val="20"/>
          <w:szCs w:val="20"/>
        </w:rPr>
        <w:t xml:space="preserve">FST-2026-0918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BKartA-Az.: </w:t>
      </w:r>
      <w:r>
        <w:rPr>
          <w:rFonts w:ascii="Calibri" w:cs="Calibri" w:eastAsia="Calibri" w:hAnsi="Calibri"/>
          <w:sz w:val="20"/>
          <w:szCs w:val="20"/>
        </w:rPr>
        <w:t xml:space="preserve">B 8-72/26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BMWK-Az.: </w:t>
      </w:r>
      <w:r>
        <w:rPr>
          <w:rFonts w:ascii="Calibri" w:cs="Calibri" w:eastAsia="Calibri" w:hAnsi="Calibri"/>
          <w:sz w:val="20"/>
          <w:szCs w:val="20"/>
        </w:rPr>
        <w:t xml:space="preserve">I C 3-2026/Nordsee/072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CMA UK-Az.: </w:t>
      </w:r>
      <w:r>
        <w:rPr>
          <w:rFonts w:ascii="Calibri" w:cs="Calibri" w:eastAsia="Calibri" w:hAnsi="Calibri"/>
          <w:sz w:val="20"/>
          <w:szCs w:val="20"/>
        </w:rPr>
        <w:t xml:space="preserve">ME/7104/26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Version: </w:t>
      </w:r>
      <w:r>
        <w:rPr>
          <w:rFonts w:ascii="Calibri" w:cs="Calibri" w:eastAsia="Calibri" w:hAnsi="Calibri"/>
          <w:sz w:val="20"/>
          <w:szCs w:val="20"/>
        </w:rPr>
        <w:t xml:space="preserve">v4-final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Datum: </w:t>
      </w:r>
      <w:r>
        <w:rPr>
          <w:rFonts w:ascii="Calibri" w:cs="Calibri" w:eastAsia="Calibri" w:hAnsi="Calibri"/>
          <w:sz w:val="20"/>
          <w:szCs w:val="20"/>
        </w:rPr>
        <w:t xml:space="preserve">14. Mai 2026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Federführung: </w:t>
      </w:r>
      <w:r>
        <w:rPr>
          <w:rFonts w:ascii="Calibri" w:cs="Calibri" w:eastAsia="Calibri" w:hAnsi="Calibri"/>
          <w:sz w:val="20"/>
          <w:szCs w:val="20"/>
        </w:rPr>
        <w:t xml:space="preserve">RA Dr. Theresa Federkamp-Wittfeldt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Kanzlei: </w:t>
      </w:r>
      <w:r>
        <w:rPr>
          <w:rFonts w:ascii="Calibri" w:cs="Calibri" w:eastAsia="Calibri" w:hAnsi="Calibri"/>
          <w:sz w:val="20"/>
          <w:szCs w:val="20"/>
        </w:rPr>
        <w:t xml:space="preserve">Federkamp Steinheim Tannenfels mbB</w:t>
      </w:r>
    </w:p>
    <w:p>
      <w:pPr>
        <w:spacing w:after="300"/>
      </w:pPr>
    </w:p>
    <w:p>
      <w:pPr>
        <w:pStyle w:val="Heading1"/>
        <w:spacing w:after="200" w:before="300"/>
      </w:pPr>
      <w:r>
        <w:t xml:space="preserve">Kapitel I: Sachverhaltsdarstellung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Gegenstand des vorliegenden Memorandums ist die rechtliche Begleitung des Erwerbs der Betriebsvermögensgegenstände der Pipeline Northsea Ltd. (UK) durch die Volkenrath Energie SE (Hannover) im Wege eines grenzüberschreitenden Asset-Deals.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Das Transaktionsvolumen beläuft sich auf knapp neun Milliarden Euro (Basiskaufpreis Enterprise Value). Das Zielunternehmen ist eine 100%ige Tochtergesellschaft der Caledonian Industrial Holdings plc (Edinburgh) und betreibt die Ammoniakproduktionsanlage sowie die Ammoniak-Pipeline Northsea-West (387 km).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Die Exklusivitätsvereinbarung zwischen Volkenrath Energie SE und Caledonian Industrial Holdings plc wurde am 14. April 2026 geschlossen. Die Legal Due Diligence begann am 22. April 2026.</w:t>
      </w:r>
    </w:p>
    <w:p>
      <w:pPr>
        <w:pStyle w:val="Heading1"/>
        <w:spacing w:after="200" w:before="300"/>
      </w:pPr>
      <w:r>
        <w:t xml:space="preserve">Kapitel II: Gesellschaftsrechtliche Zulässigkeit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Der Asset-Deal unterliegt nach § 111 Abs. 4 Satz 2 AktG i.V.m. § 5 Abs. 2 lit. f der Vorstandsgeschäftsordnung der Volkenrath Energie SE der Zustimmung des Aufsichtsrats. Das Transaktionsvolumen übersteigt die festgelegte Genehmigungsschwelle von EUR 500.000.000 erheblich.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Darüber hinaus ist nach den Grundsätzen der BGH-Entscheidungen Holzmüller (BGHZ 83, 122) und Gelatine (BGHZ 159, 30) zu prüfen, ob eine außerordentliche Hauptversammlung einzuberufen ist, da das Transaktionsvolumen ca. 132% des bilanziellen Eigenkapitals der Volkenrath Energie SE entspricht.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dxa" w:w="3333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Rechtsgrundlage</w:t>
            </w:r>
          </w:p>
        </w:tc>
        <w:tc>
          <w:tcPr>
            <w:tcW w:type="dxa" w:w="3333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Anforderung</w:t>
            </w:r>
          </w:p>
        </w:tc>
        <w:tc>
          <w:tcPr>
            <w:tcW w:type="dxa" w:w="3333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Status</w:t>
            </w:r>
          </w:p>
        </w:tc>
      </w:tr>
      <w:tr>
        <w:tc>
          <w:tcPr>
            <w:tcW w:type="dxa" w:w="3333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AktG § 111 Abs. 4</w:t>
            </w:r>
          </w:p>
        </w:tc>
        <w:tc>
          <w:tcPr>
            <w:tcW w:type="dxa" w:w="3333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Aufsichtsratszustimmung</w:t>
            </w:r>
          </w:p>
        </w:tc>
        <w:tc>
          <w:tcPr>
            <w:tcW w:type="dxa" w:w="3333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Geplant 18. Juni 2026</w:t>
            </w:r>
          </w:p>
        </w:tc>
      </w:tr>
      <w:tr>
        <w:tc>
          <w:tcPr>
            <w:tcW w:type="dxa" w:w="3333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AktG § 119 Abs. 2</w:t>
            </w:r>
          </w:p>
        </w:tc>
        <w:tc>
          <w:tcPr>
            <w:tcW w:type="dxa" w:w="3333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HV-Beschluss (Holzmüller)</w:t>
            </w:r>
          </w:p>
        </w:tc>
        <w:tc>
          <w:tcPr>
            <w:tcW w:type="dxa" w:w="3333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Prüfung empfohlen</w:t>
            </w:r>
          </w:p>
        </w:tc>
      </w:tr>
      <w:tr>
        <w:tc>
          <w:tcPr>
            <w:tcW w:type="dxa" w:w="3333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AktG § 93</w:t>
            </w:r>
          </w:p>
        </w:tc>
        <w:tc>
          <w:tcPr>
            <w:tcW w:type="dxa" w:w="3333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Haftung Vorstand</w:t>
            </w:r>
          </w:p>
        </w:tc>
        <w:tc>
          <w:tcPr>
            <w:tcW w:type="dxa" w:w="3333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Beachten</w:t>
            </w:r>
          </w:p>
        </w:tc>
      </w:tr>
    </w:tbl>
    <w:p>
      <w:pPr>
        <w:pStyle w:val="Heading1"/>
        <w:spacing w:after="200" w:before="300"/>
      </w:pPr>
      <w:r>
        <w:t xml:space="preserve">Kapitel III: Kartellrechtliche Anmeldung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Die Fusionskontrollanmeldung beim Bundeskartellamt (BKartA) ist zwingend erforderlich. Sämtliche Aufgreifschwellen des § 35 GWB sind erfüllt. Die Pre-Notification ist für den 18. Mai 2026 geplant. Parallel ist die Anmeldung bei der britischen Competition and Markets Authority (CMA, Az. ME/7104/26) erforderlich.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Aufgrund des Brexit besteht keine One-Stop-Shop-Zuständigkeit der EU-Kommission mehr. Beide Verfahren verlaufen parallel und unabhängig voneinander. Das Vollzugsverbot nach § 41 GWB gilt bis zur Freigabe durch das BKartA.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Die marktbeherrschende Stellung der Pipeline Northsea Ltd. im Ammoniaktransport Nordsee-DE (Marktanteil ca. 70%) lässt eine Phase-2-Einleitung als möglich erscheinen. Vorbereitend wurde ein Remedies-Konzept (Zugangsgewährungsmodell) erarbeitet.</w:t>
      </w:r>
    </w:p>
    <w:p>
      <w:pPr>
        <w:pStyle w:val="Heading1"/>
        <w:spacing w:after="200" w:before="300"/>
      </w:pPr>
      <w:r>
        <w:t xml:space="preserve">Kapitel IV: Außenwirtschaftsrechtliche Investitionsprüfung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Das BMWK hat mit Schreiben vom 20. April 2026 die Einleitung einer Investitionsprüfung nach §§ 55 ff. AWG bestätigt (Az. I C 3-2026/Nordsee/072). Die Pipeline Northsea-West ist als kritische Energieinfrastruktur nach der KRITIS-Verordnung eingestuft.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Die Prüfungsdauer beträgt bis zu sechs Monate und ist der kritische Zeitpfad für das Closing. Das BMWK-Vorabgespräch am 12. Mai 2026 hat erste Hinweise auf die Prüfungsschwerpunkte ergeben. Die SCADA-Systeme (Betreiber: Hargrave Systems Ltd.) stehen im Fokus.</w:t>
      </w:r>
    </w:p>
    <w:p>
      <w:pPr>
        <w:pStyle w:val="Heading1"/>
        <w:spacing w:after="200" w:before="300"/>
      </w:pPr>
      <w:r>
        <w:t xml:space="preserve">Kapitel V: Betriebsübergang nach § 613a BGB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Ca. 342 Vollzeitäquivalente gehen im Wege des Betriebsübergangs auf den Erwerber über. Die Voraussetzungen des § 613a BGB sind erfüllt: Übertragung wesentlicher Betriebsmittel, Wahrung der Betriebsidentität, rechtsgeschäftliche Übereignung.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Der Betriebsrat der Dienststelle Helgoland-Vorgelagert fordert eine Standortgarantie für fünf Jahre. Interessenausgleich und Sozialplan nach §§ 111–113 BetrVG sind zu verhandeln. Für britische Mitarbeiter gilt TUPE 2006 (UK-Äquivalent).</w:t>
      </w:r>
    </w:p>
    <w:p>
      <w:pPr>
        <w:pStyle w:val="Heading1"/>
        <w:spacing w:after="200" w:before="300"/>
      </w:pPr>
      <w:r>
        <w:t xml:space="preserve">Kapitel VI: Umweltrechtliche Altlastenverantwortung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Auf dem Werksgelände Helgoland-Vorgelagert besteht ein Altlastenverdacht aufgrund eines dokumentierten Ammoniak-Lecks aus dem Jahr 1987. Geschätzte Sanierungskosten: EUR 80.000.000 – 180.000.000 (nach eigener Gutachtereinschätzung bis EUR 180.000.000 möglich).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Nach § 4 Abs. 3 BBodSchG übernimmt der Erwerber als Inhaber des Grundstücks die Sanierungspflicht. Ein Escrow-Einbehalt von EUR 180.000.000 wird als Closing-Bedingung empfohlen.</w:t>
      </w:r>
    </w:p>
    <w:p>
      <w:pPr>
        <w:pStyle w:val="Heading1"/>
        <w:spacing w:after="200" w:before="300"/>
      </w:pPr>
      <w:r>
        <w:t xml:space="preserve">Kapitel VII: Immobilienrechtliche Übertragung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Die deutschen Grundstücke werden durch Auflassung und Grundbucheintragung übertragen (§§ 873, 925 BGB). Für AWZ-Anlagen ist eine SeeAnlV-Genehmigung (BSH) erforderlich. Die britische Liegenschaft in Grimsby unterliegt dem Land Registration Act 2002; SDLT fällt an.</w:t>
      </w:r>
    </w:p>
    <w:p>
      <w:pPr>
        <w:pStyle w:val="Heading1"/>
        <w:spacing w:after="200" w:before="300"/>
      </w:pPr>
      <w:r>
        <w:t xml:space="preserve">Kapitel VIII: Steuerrechtliche Strukturierung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RAin Annegret Pohlmann empfiehlt die Erwerberstruktur über ein GmbH-Vehikel (Northsea Ammoniak GmbH i.G.). Dies ermöglicht Haftungsabschirmung und spätere Share-Deal-Optionen. Die Geschäftsveräußerung im Ganzen (GViG, § 1 Abs. 1a UStG) vermeidet USt-Belastung auf den Gesamtkaufpreis.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Die Zinsschranke nach § 4h EStG führt zu einem nicht abziehbaren Zinsaufwand von ca. EUR 116.000.000 p.a. (Steuereffekt: EUR 29.000.000 p.a.).</w:t>
      </w:r>
    </w:p>
    <w:p>
      <w:pPr>
        <w:pStyle w:val="Heading1"/>
        <w:spacing w:after="200" w:before="300"/>
      </w:pPr>
      <w:r>
        <w:t xml:space="preserve">Kapitel IX: Datenschutzrechtliche Drittlandübermittlung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Personaldaten von ca. 342 Mitarbeitern werden von UK nach Deutschland übermittelt. Der EU-Angemessenheitsbeschluss für UK (Art. 45 DSGVO, Ablauf 27. Juni 2025) ist auslaufgefährdet. Standardvertragsklauseln (SCC) nach Art. 46 Abs. 2 lit. c DSGVO werden vorsorglich einbezogen. Ein Data Processing Agreement wird bis 15. Mai 2026 abgeschlossen.</w:t>
      </w:r>
    </w:p>
    <w:p>
      <w:pPr>
        <w:pStyle w:val="Heading1"/>
        <w:spacing w:after="200" w:before="300"/>
      </w:pPr>
      <w:r>
        <w:t xml:space="preserve">Kapitel X: Energierechtliche Betriebsfortführung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Die Anwendbarkeit des EnWG auf die Ammoniak-Pipeline ist rechtlich umstritten. Eine BNetzA-Voranfrage wurde am 6. Mai 2026 gestellt. KRITIS-Registrierung beim BSI nach Closing zwingend. Ein Betriebsführungsvertrag mit Caledonian für den Übergangszeitraum ist als Closing-Bedingung vereinbart.</w:t>
      </w:r>
    </w:p>
    <w:p>
      <w:pPr>
        <w:spacing w:after="300"/>
      </w:pPr>
    </w:p>
    <w:p>
      <w:pPr>
        <w:pStyle w:val="Heading1"/>
        <w:spacing w:after="200" w:before="300"/>
      </w:pPr>
      <w:r>
        <w:t xml:space="preserve">Handlungsempfehlung — Executive Summary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Der geplante Asset-Deal ist aus rechtlicher Sicht unter den beschriebenen Bedingungen (Escrow, AWG-Freigabe, kartellrechtliche Freigaben) durchführbar. Signing wird für 20. Juni 2026 empfohlen, Closing für 1. September 2026.</w:t>
      </w:r>
    </w:p>
    <w:p>
      <w:pPr>
        <w:spacing w:after="1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Federkamp Steinheim Tannenfels mbB — 14. Mai 2026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RA Dr. Theresa Federkamp-Wittfeldt (Federführung) | RA Dr. Mark Roosendaal (Kartellrecht) | RAin Annegret Pohlmann (Steuerrecht)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Juristisches Memorandum Asset-Deal Volkenrath / Pipeline Northsea — v4-final</dc:title>
  <dc:creator>Federkamp Steinheim Tannenfels mbB</dc:creator>
  <dc:description>Konsolidiertes juristisches Memorandum zum grenzueberschreitenden Asset-Deal Volkenrath Energie SE</dc:description>
  <cp:lastModifiedBy>Un-named</cp:lastModifiedBy>
  <cp:revision>1</cp:revision>
  <dcterms:created xsi:type="dcterms:W3CDTF">2026-05-30T19:36:00.005Z</dcterms:created>
  <dcterms:modified xsi:type="dcterms:W3CDTF">2026-05-30T19:36:00.005Z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