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36"/>
          <w:szCs w:val="36"/>
        </w:rPr>
        <w:t xml:space="preserve">Vendor Q&amp;A — Protokoll</w:t>
      </w:r>
    </w:p>
    <w:p>
      <w:pPr>
        <w:spacing w:after="400"/>
        <w:jc w:val="center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Asset-Deal FST-2026-0918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Datenraum: </w:t>
      </w:r>
      <w:r>
        <w:rPr>
          <w:rFonts w:ascii="Calibri" w:cs="Calibri" w:eastAsia="Calibri" w:hAnsi="Calibri"/>
          <w:sz w:val="20"/>
          <w:szCs w:val="20"/>
        </w:rPr>
        <w:t xml:space="preserve">Intralinks — Projekt Northsea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Fragen eingereicht: </w:t>
      </w:r>
      <w:r>
        <w:rPr>
          <w:rFonts w:ascii="Calibri" w:cs="Calibri" w:eastAsia="Calibri" w:hAnsi="Calibri"/>
          <w:sz w:val="20"/>
          <w:szCs w:val="20"/>
        </w:rPr>
        <w:t xml:space="preserve">10. Mai 2026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Antwortfrist: </w:t>
      </w:r>
      <w:r>
        <w:rPr>
          <w:rFonts w:ascii="Calibri" w:cs="Calibri" w:eastAsia="Calibri" w:hAnsi="Calibri"/>
          <w:sz w:val="20"/>
          <w:szCs w:val="20"/>
        </w:rPr>
        <w:t xml:space="preserve">23. Mai 2026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Koordination: </w:t>
      </w:r>
      <w:r>
        <w:rPr>
          <w:rFonts w:ascii="Calibri" w:cs="Calibri" w:eastAsia="Calibri" w:hAnsi="Calibri"/>
          <w:sz w:val="20"/>
          <w:szCs w:val="20"/>
        </w:rPr>
        <w:t xml:space="preserve">Tobias Freyer-Schmidt (Volkenrath M&amp;A)</w:t>
      </w:r>
    </w:p>
    <w:p>
      <w:pPr>
        <w:spacing w:after="200"/>
      </w:pPr>
    </w:p>
    <w:p>
      <w:pPr>
        <w:pStyle w:val="Heading1"/>
        <w:spacing w:after="200" w:before="300"/>
      </w:pPr>
      <w:r>
        <w:t xml:space="preserve">A. Umwelt / Altlasten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Nr.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Frage (Kurzfassung)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Caledonian-Antwort (Stand 23. Mai 2026)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FST-Kommentar</w:t>
            </w:r>
          </w:p>
        </w:tc>
      </w:tr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A-01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Sanierungsmaßnahmen seit 1987?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Drei Teilsanierungen 1989/1998/2011; letzte Behördenabnahme LBEG 2012. Vollständige Dokumentation in Ordner 4.2.1 hochgeladen.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Unvollständig: 2012er-Abnahme deckt nur Oberbodenkontamination ab. Phase-II-Audit bestätigt offenes Grundwasser-Issue.</w:t>
            </w:r>
          </w:p>
        </w:tc>
      </w:tr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A-02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Aktuelles Bodengutachten (2024/2025) vorhanden?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Kein Gutachten nach 2020 vorhanden. Zuletzt: Bericht Dr. Mc­Allister Environmental 2020.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Kritisch — Volkenrath-eigener Gutachter Bremerhöfer nötig.</w:t>
            </w:r>
          </w:p>
        </w:tc>
      </w:tr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A-03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Behördliche Sanierungsanordnung?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Keine offene Sanierungsanordnung. LBEG-Bescheid 2012 gilt als abschließend für damaligen Umfang.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Anordnung möglich bei neuen Erkenntnissen aus Phase-II-Audit.</w:t>
            </w:r>
          </w:p>
        </w:tc>
      </w:tr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A-04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Freistellungen von Voreigentümern?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Freistellungserklärung von North British Chemicals plc (1996) vorhanden; begrenzt auf bekannte Kontaminationen bis 1996.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Bandbreite ab 1997 ungedeckt — erhöhtes Risiko.</w:t>
            </w:r>
          </w:p>
        </w:tc>
      </w:tr>
    </w:tbl>
    <w:p>
      <w:pPr>
        <w:spacing w:after="200"/>
      </w:pPr>
    </w:p>
    <w:p>
      <w:pPr>
        <w:pStyle w:val="Heading1"/>
        <w:spacing w:after="200" w:before="300"/>
      </w:pPr>
      <w:r>
        <w:t xml:space="preserve">B. Mitarbeiter / § 613a BGB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Nr.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Frage (Kurzfassung)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Caledonian-Antwort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FST-Kommentar</w:t>
            </w:r>
          </w:p>
        </w:tc>
      </w:tr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B-01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Vollständige Mitarbeiterliste?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Anonymisierte Liste (342 VZÄ) in Ordner 5.1.1 — Klarnamen nach DSGVO-DPA-Abschluss.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DPA-Abschluss 15. Mai 2026 — dann Klarnamen abrufbar.</w:t>
            </w:r>
          </w:p>
        </w:tc>
      </w:tr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B-02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Einzelvertragliche Standortzusagen?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Keine einzelvertraglichen Standortgarantien. Betriebsvereinbarung BV-2019-03 Helgoland enthält Beschäftigungszusage für laufende Projektphase (bis 31. Dezember 2026).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BV-2019-03 läuft kurz nach Closing aus — günstig für Verhandlung.</w:t>
            </w:r>
          </w:p>
        </w:tc>
      </w:tr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B-03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Tarifverträge?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TV ChemDE gilt für ca. 180 gewerbliche Mitarbeiter. 30 leitende Angestellte ohne TV.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Nachwirkung TV nach § 4 Abs. 5 TVG zu beachten.</w:t>
            </w:r>
          </w:p>
        </w:tc>
      </w:tr>
    </w:tbl>
    <w:p>
      <w:pPr>
        <w:spacing w:after="200"/>
      </w:pPr>
    </w:p>
    <w:p>
      <w:pPr>
        <w:pStyle w:val="Heading1"/>
        <w:spacing w:after="200" w:before="300"/>
      </w:pPr>
      <w:r>
        <w:t xml:space="preserve">C. Betriebsgenehmigungen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Nr.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Frage (Kurzfassung)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Caledonian-Antwort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FST-Kommentar</w:t>
            </w:r>
          </w:p>
        </w:tc>
      </w:tr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C-01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Übertragbarkeit Genehmigungen?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Alle immissionsschutzrechtlichen Genehmigungen lauten auf Pipeline Northsea Ltd. — übertragbar nach Anzeige bei Behörde nach § 15 BImSchG.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§ 15 BImSchG-Anzeige vor Closing vorbereiten.</w:t>
            </w:r>
          </w:p>
        </w:tc>
      </w:tr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C-02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Offene Auflagenverfahren?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Keine offenen Auflagenverfahren. Regelmäßige Wiederkehrprüfung nächste Fälligkeit: September 2027.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Keine kritischen Befunde.</w:t>
            </w:r>
          </w:p>
        </w:tc>
      </w:tr>
    </w:tbl>
    <w:p>
      <w:pPr>
        <w:spacing w:after="200"/>
      </w:pPr>
    </w:p>
    <w:p>
      <w:pPr>
        <w:pStyle w:val="Heading1"/>
        <w:spacing w:after="200" w:before="300"/>
      </w:pPr>
      <w:r>
        <w:t xml:space="preserve">D. IT / SCADA / Datenschutz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Nr.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Frage (Kurzfassung)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Caledonian-Antwort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FST-Kommentar</w:t>
            </w:r>
          </w:p>
        </w:tc>
      </w:tr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E-01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SCADA-Eigentümer / Hargrave Systems?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SCADA-Hardware im Eigentum von Pipeline Northsea Ltd. Wartungsvertrag mit Hargrave Systems Ltd. (Laufzeit bis 2029, ordentlich kündbar mit 12-monatiger Frist).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Hargrave-Vertrag kurzfristig kündbar — SCADA-Transition planbar.</w:t>
            </w:r>
          </w:p>
        </w:tc>
      </w:tr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E-02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IT-Sicherheitsaudit?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ISO 27001-Zertifizierung 2023 für SCADA-Netzwerke. Zertifikat läuft bis Februar 2026 — Verlängerung in Bearbeitung.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Verlängerung ausstehend — AWG-Risiko (SCADA-Fokus BMWK).</w:t>
            </w:r>
          </w:p>
        </w:tc>
      </w:tr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E-03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Personenbezogene Datenmengen?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Ca. 14.200 Datensätze in UK-HR-System (SAP SuccessFactors). Datenübermittlung nach DSGVO-DPA.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SCC-Einbeziehung empfohlen.</w:t>
            </w:r>
          </w:p>
        </w:tc>
      </w:tr>
    </w:tbl>
    <w:p>
      <w:pPr>
        <w:spacing w:after="300"/>
      </w:pP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Protokolliert durch: Tobias Freyer-Schmidt / RA Dr. Mark Roosendaal — 24. Mai 2026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Vendor Q&amp;A Protokoll — FST-2026-0918</dc:title>
  <dc:creator>Federkamp Steinheim Tannenfels mbB</dc:creator>
  <cp:lastModifiedBy>Un-named</cp:lastModifiedBy>
  <cp:revision>1</cp:revision>
  <dcterms:created xsi:type="dcterms:W3CDTF">2026-05-30T19:36:00.077Z</dcterms:created>
  <dcterms:modified xsi:type="dcterms:W3CDTF">2026-05-30T19:36:00.077Z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