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Title"/>
      </w:pPr>
      <w:r>
        <w:t xml:space="preserve">Rechtsgutachten</w:t>
      </w:r>
    </w:p>
    <w:p>
      <w:pPr>
        <w:pStyle w:val="Heading1"/>
      </w:pPr>
      <w:r>
        <w:t xml:space="preserve">Werklohnanspruch bei illegalem Einbau eines Radarwarners</w:t>
      </w:r>
    </w:p>
    <w:p>
      <w:r>
        <w:t xml:space="preserve">Kanzlei Roosendaal, Bonn — Kanzleiaktenzeichen: MR-2026-0228</w:t>
      </w:r>
    </w:p>
    <w:p>
      <w:r>
        <w:t xml:space="preserve">Erstattet von: RA Dr. Mark Roosendaal</w:t>
      </w:r>
    </w:p>
    <w:p>
      <w:r>
        <w:t xml:space="preserve">Datum: 10. Februar 2026</w:t>
      </w:r>
    </w:p>
    <w:p/>
    <w:p>
      <w:pPr>
        <w:pStyle w:val="Heading1"/>
      </w:pPr>
      <w:r>
        <w:t xml:space="preserve">I. Aufgabenstellung</w:t>
      </w:r>
    </w:p>
    <w:p>
      <w:r>
        <w:t xml:space="preserve">Der Mandant Lars Tannenmoor (T), KFZ-Meister in Meckenheim, begehrt Auskunft darueber, ob ihm gegen Veit Sauer-Hellbrunn (S) ein Werklohnanspruch nach § 631 Abs. 1 BGB in Hoehe von 2.380 EUR brutto zusteht. S verweigert die Zahlung mit dem Argument, der Werkvertrag sei nach § 134 BGB i.V.m. § 23 Abs. 1c StVO nichtig.</w:t>
      </w:r>
    </w:p>
    <w:p/>
    <w:p>
      <w:pPr>
        <w:pStyle w:val="Heading1"/>
      </w:pPr>
      <w:r>
        <w:t xml:space="preserve">II. Methodenanwendung</w:t>
      </w:r>
    </w:p>
    <w:p>
      <w:pPr>
        <w:pStyle w:val="Heading2"/>
      </w:pPr>
      <w:r>
        <w:t xml:space="preserve">A. Grammatikalische Auslegung</w:t>
      </w:r>
    </w:p>
    <w:p>
      <w:r>
        <w:t xml:space="preserve">Der Wortlaut des § 23 Abs. 1c StVO richtet sich an den Fahrzeugfuehrer. Der Einbauer (T) ist nicht Normadressat. Grammatikalisch liegt daher ein einseitiges Verbotsgesetz vor, das nach der Schutzzwecklehre nicht zur Nichtigkeit des Werkvertrags fuehrt (§ 134 BGB a.E.: "wenn sich nicht aus dem Gesetz ein anderes ergibt").</w:t>
      </w:r>
    </w:p>
    <w:p/>
    <w:p>
      <w:pPr>
        <w:pStyle w:val="Heading2"/>
      </w:pPr>
      <w:r>
        <w:t xml:space="preserve">B. Systematische Auslegung</w:t>
      </w:r>
    </w:p>
    <w:p>
      <w:r>
        <w:t xml:space="preserve">§ 23 Abs. 1c StVO steht im Verkehrsordnungsrecht (Ordnungswidrigkeitenrecht). Die StVO enthaelt keine zivilrechtliche Nichtigkeitsanordnung fuer Werkvertraege. Systematisch ist das OWi-Recht vom Zivilrecht zu trennen. Ein OWi-Verstoss eines Vertragspartners fuehrt nicht automatisch zur zivilrechtlichen Nichtigkeit des zugrundeliegenden Vertrags (vgl. MueKo-BGB/Saecker, Einleitung Rn. 204).</w:t>
      </w:r>
    </w:p>
    <w:p/>
    <w:p>
      <w:pPr>
        <w:pStyle w:val="Heading2"/>
      </w:pPr>
      <w:r>
        <w:t xml:space="preserve">C. Historische Auslegung</w:t>
      </w:r>
    </w:p>
    <w:p>
      <w:r>
        <w:t xml:space="preserve">§ 134 BGB geht auf das BGB 1900 zurueck und wurde durch die Schuldrechtsmodernisierung 2002 inhaltlich nicht veraendert. Die Begruendung des SchuldRModG (BT-Drs. 14/6040, S. 261) enthaelt keine Hinweise auf eine Ausdehnung der Nichtigkeitsfolge auf Einbauvertraege. § 23 Abs. 1c StVO wurde 2014 eingefuehrt; die Materialien enthalten keinen zivilrechtlichen Regelungswillen.</w:t>
      </w:r>
    </w:p>
    <w:p/>
    <w:p>
      <w:pPr>
        <w:pStyle w:val="Heading2"/>
      </w:pPr>
      <w:r>
        <w:t xml:space="preserve">D. Teleologische Auslegung</w:t>
      </w:r>
    </w:p>
    <w:p>
      <w:r>
        <w:t xml:space="preserve">Der Schutzzweck des § 23 Abs. 1c StVO ist die Gewaehrleistung der Wirksamkeit von Geschwindigkeitskontrollen im Interesse der Verkehrssicherheit. Dieser Zweck wird durch den Einbauvertrag als solchen nicht gefaehrdet. Teleologische Reduktion des § 134 BGB: Keine Nichtigkeit.</w:t>
      </w:r>
    </w:p>
    <w:p/>
    <w:p>
      <w:pPr>
        <w:pStyle w:val="Heading2"/>
      </w:pPr>
      <w:r>
        <w:t xml:space="preserve">E. Verfassungskonforme Auslegung</w:t>
      </w:r>
    </w:p>
    <w:p>
      <w:r>
        <w:t xml:space="preserve">Art. 12 Abs. 1 GG (Berufsfreiheit) gebietet, § 134 BGB nicht ueber seinen Schutzzweck hinaus auszudehnen. Die Verneinung des Werklohnanspruchs waere ein unverhaeltnismaessiger Eingriff in die Berufsausuebungsfreiheit des T (vgl. BVerfGE 89, 214).</w:t>
      </w:r>
    </w:p>
    <w:p/>
    <w:p>
      <w:pPr>
        <w:pStyle w:val="Heading2"/>
      </w:pPr>
      <w:r>
        <w:t xml:space="preserve">F. Abgrenzung BGH VII ZR 235/15 (Schwarzarbeit)</w:t>
      </w:r>
    </w:p>
    <w:p>
      <w:r>
        <w:t xml:space="preserve">Der BGH hat in VII ZR 235/15 (NJW 2017, 1600) die Nichtigkeit eines Schwarzarbeitsvertrags auf die beiderseitige Verbotsqualitaet des § 1 Abs. 2 Nr. 2 SchwArbG gestuetzt. Im vorliegenden Fall fehlt es an einem beiderseitigen Verbotsgesetz: § 23 Abs. 1c StVO richtet sich nur an den Fahrzeugfuehrer. A contrario: Bei einseitigem Verbot keine Nichtigkeit.</w:t>
      </w:r>
    </w:p>
    <w:p/>
    <w:p>
      <w:pPr>
        <w:pStyle w:val="Heading1"/>
      </w:pPr>
      <w:r>
        <w:t xml:space="preserve">III. Ergebnis</w:t>
      </w:r>
    </w:p>
    <w:p>
      <w:r>
        <w:t xml:space="preserve">T hat gegen S einen Werklohnanspruch in Hoehe von 2.380 EUR brutto (§ 631 Abs. 1 BGB). § 134 BGB i.V.m. § 23 Abs. 1c StVO fuehrt nicht zur Nichtigkeit des Werkvertrags. § 23 Abs. 1c StVO ist ein einseitiges Verbotsgesetz; der Verbotszweck erfasst den Einbauvertrag nicht. Alle vier Auslegungskanones und die verfassungskonforme Auslegung stuetzen dieses Ergebnis.</w:t>
      </w:r>
    </w:p>
    <w:p/>
    <w:p>
      <w:pPr>
        <w:pStyle w:val="Heading1"/>
      </w:pPr>
      <w:r>
        <w:t xml:space="preserve">IV. Quellen</w:t>
      </w:r>
    </w:p>
    <w:p>
      <w:r>
        <w:t xml:space="preserve">- BGB §§ 134, 631, 633: https://dejure.org/gesetze/BGB/</w:t>
      </w:r>
    </w:p>
    <w:p>
      <w:r>
        <w:t xml:space="preserve">- § 23 StVO: https://dejure.org/gesetze/StVO/23.html</w:t>
      </w:r>
    </w:p>
    <w:p>
      <w:r>
        <w:t xml:space="preserve">- BGH VII ZR 235/15: https://www.bundesgerichtshof.de/</w:t>
      </w:r>
    </w:p>
    <w:p>
      <w:r>
        <w:t xml:space="preserve">- BVerfGE 89, 214: https://www.bundesverfassungsgericht.de/</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2026-05-30T19:37:32.116Z</dcterms:created>
  <dcterms:modified xsi:type="dcterms:W3CDTF">2026-05-30T19:37:32.116Z</dcterms:modified>
</cp:coreProperties>
</file>

<file path=docProps/custom.xml><?xml version="1.0" encoding="utf-8"?>
<Properties xmlns="http://schemas.openxmlformats.org/officeDocument/2006/custom-properties" xmlns:vt="http://schemas.openxmlformats.org/officeDocument/2006/docPropsVTypes"/>
</file>