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pStyle w:val="Title"/>
      </w:pPr>
      <w:r>
        <w:t xml:space="preserve">Klausurkonzept: Radarwarner-Fall (Staatsexamen)</w:t>
      </w:r>
    </w:p>
    <w:p>
      <w:r>
        <w:t xml:space="preserve">Universitaet Bonn — Erstes Staatsexamen (Pflichtfach BGB AT/SchuldR)</w:t>
      </w:r>
    </w:p>
    <w:p>
      <w:r>
        <w:t xml:space="preserve">Fallnummer: BR-Uebung-WS26/27-Fall-14 | Bearbeitungszeit: 5 Stunden</w:t>
      </w:r>
    </w:p>
    <w:p>
      <w:r>
        <w:t xml:space="preserve">Verfasserin: Prof. Dr. Henrietta Meckenheim</w:t>
      </w:r>
    </w:p>
    <w:p/>
    <w:p>
      <w:pPr>
        <w:pStyle w:val="Heading1"/>
      </w:pPr>
      <w:r>
        <w:t xml:space="preserve">I. Sachverhalt</w:t>
      </w:r>
    </w:p>
    <w:p>
      <w:r>
        <w:t xml:space="preserve">KFZ-Meister T und Unternehmer S schliessen am 3. November 2025 einen schriftlichen Werkvertrag ueber den Einbau eines Radarwarners ProAlert X7 Pro in den Porsche des S; Verguetung 2.380 EUR brutto. Am 27. November 2025 wird S mit aktiviertem Geraet auf der A 565 angehalten; das Geraet wird sichergestellt; S erhaelt ein Bussgeld nach § 23 Abs. 1c StVO. S verweigert seither die Zahlung und beruft sich auf Nichtigkeit nach § 134 BGB.</w:t>
      </w:r>
    </w:p>
    <w:p/>
    <w:p>
      <w:pPr>
        <w:pStyle w:val="Heading1"/>
      </w:pPr>
      <w:r>
        <w:t xml:space="preserve">II. Bearbeiterhinweise</w:t>
      </w:r>
    </w:p>
    <w:p>
      <w:r>
        <w:t xml:space="preserve">1. Pruefen Sie den Werklohnanspruch des T gegen S (§ 631 BGB) einschl. aller Einwendungen.</w:t>
      </w:r>
    </w:p>
    <w:p>
      <w:r>
        <w:t xml:space="preserve">2. Gehen Sie auf alle vier Auslegungskanones ein.</w:t>
      </w:r>
    </w:p>
    <w:p>
      <w:r>
        <w:t xml:space="preserve">3. Pruefen Sie hilfsweise einen bereicherungsrechtlichen Anspruch (§ 812 BGB).</w:t>
      </w:r>
    </w:p>
    <w:p>
      <w:r>
        <w:t xml:space="preserve">4. Eroertern Sie, ob S Schadensersatzansprueche gegen T geltend machen kann.</w:t>
      </w:r>
    </w:p>
    <w:p>
      <w:r>
        <w:t xml:space="preserve">5. Zitieren Sie BGH VII ZR 235/15 und grenzen Sie ab.</w:t>
      </w:r>
    </w:p>
    <w:p/>
    <w:p>
      <w:pPr>
        <w:pStyle w:val="Heading1"/>
      </w:pPr>
      <w:r>
        <w:t xml:space="preserve">III. Loesungsskizze</w:t>
      </w:r>
    </w:p>
    <w:p>
      <w:pPr>
        <w:pStyle w:val="Heading2"/>
      </w:pPr>
      <w:r>
        <w:t xml:space="preserve">A. § 631 Abs. 1 BGB</w:t>
      </w:r>
    </w:p>
    <w:p>
      <w:r>
        <w:t xml:space="preserve">I. Entstehung: Werkvertrag (+); Werk hergestellt (+); Faelligkeit (+)</w:t>
      </w:r>
    </w:p>
    <w:p>
      <w:r>
        <w:t xml:space="preserve">II. § 134 BGB i.V.m. § 23 Abs. 1c StVO: Einseitiges Verbotsgesetz (-) → Werkvertrag wirksam</w:t>
      </w:r>
    </w:p>
    <w:p>
      <w:r>
        <w:t xml:space="preserve">III. § 633 BGB Mangel: (-) vereinbarte Beschaffenheit erfuellt</w:t>
      </w:r>
    </w:p>
    <w:p>
      <w:r>
        <w:t xml:space="preserve">IV. Ergebnis: (+) — 2.380 EUR</w:t>
      </w:r>
    </w:p>
    <w:p/>
    <w:p>
      <w:pPr>
        <w:pStyle w:val="Heading2"/>
      </w:pPr>
      <w:r>
        <w:t xml:space="preserve">B. § 812 Abs. 1 S. 1 Alt. 1 BGB (hilfsweise)</w:t>
      </w:r>
    </w:p>
    <w:p>
      <w:r>
        <w:t xml:space="preserve">Nur relevant wenn § 134 BGB Nichtigkeit bewirkt. Leistung (+); § 817 S. 2 BGB: kein beiderseitiger Verstoss; Kondiktionsanspruch nicht gesperrt.</w:t>
      </w:r>
    </w:p>
    <w:p/>
    <w:p>
      <w:pPr>
        <w:pStyle w:val="Heading2"/>
      </w:pPr>
      <w:r>
        <w:t xml:space="preserve">C. Schadensersatz S gegen T</w:t>
      </w:r>
    </w:p>
    <w:p>
      <w:r>
        <w:t xml:space="preserve">§ 823 Abs. 1 (-); § 823 Abs. 2 i.V.m. § 23 Abs. 1c StVO: Kein Schutzgesetz fuer S; § 826 (-).</w:t>
      </w:r>
    </w:p>
    <w:p/>
    <w:p>
      <w:pPr>
        <w:pStyle w:val="Heading1"/>
      </w:pPr>
      <w:r>
        <w:t xml:space="preserve">IV. Bewertungsraster</w:t>
      </w:r>
    </w:p>
    <w:p>
      <w:r>
        <w:t xml:space="preserve">§ 631 Entstehung: 5 Punkte | § 134 Methodenanwendung: 15 Punkte | BGH VII ZR 235/15: 10 Punkte | §§ 812/817: 8 Punkte | § 823: 7 Punkte | Verfassungsrecht: 5 Punkte</w:t>
      </w:r>
    </w:p>
    <w:p/>
    <w:p>
      <w:pPr>
        <w:pStyle w:val="Heading1"/>
      </w:pPr>
      <w:r>
        <w:t xml:space="preserve">V. Quellen</w:t>
      </w:r>
    </w:p>
    <w:p>
      <w:r>
        <w:t xml:space="preserve">- §§ 134, 631, 812, 817, 823 BGB: https://dejure.org/gesetze/BGB/</w:t>
      </w:r>
    </w:p>
    <w:p>
      <w:r>
        <w:t xml:space="preserve">- BGH VII ZR 235/15: https://www.bundesgerichtshof.de/</w:t>
      </w:r>
    </w:p>
    <w:p>
      <w:r>
        <w:t xml:space="preserve">- Art. 12 GG: https://www.gesetze-im-internet.de/gg/art_12.html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2026-05-30T19:37:32.186Z</dcterms:created>
  <dcterms:modified xsi:type="dcterms:W3CDTF">2026-05-30T19:37:32.186Z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