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Referat-Handout: Methodenlehre BGB — Fall Tannenmoor</w:t>
      </w:r>
    </w:p>
    <w:p>
      <w:r>
        <w:t xml:space="preserve">Uebung im Buergerlichen Recht, WS 2026/27 | Universitaet Bonn</w:t>
      </w:r>
    </w:p>
    <w:p>
      <w:r>
        <w:t xml:space="preserve">Referent: Tristan Wolfsbach (Matr. 2891047)</w:t>
      </w:r>
    </w:p>
    <w:p>
      <w:r>
        <w:t xml:space="preserve">Betreuerin: Prof. Dr. Henrietta Meckenheim</w:t>
      </w:r>
    </w:p>
    <w:p/>
    <w:p>
      <w:pPr>
        <w:pStyle w:val="Heading1"/>
      </w:pPr>
      <w:r>
        <w:t xml:space="preserve">A. Die vier Auslegungskanones</w:t>
      </w:r>
    </w:p>
    <w:p>
      <w:r>
        <w:t xml:space="preserve">1. Grammatikalische Auslegung (§§ 133, 157 BGB): Wortlaut, natuerlicher Sprachgebrauch</w:t>
      </w:r>
    </w:p>
    <w:p>
      <w:r>
        <w:t xml:space="preserve">2. Systematische Auslegung: Stellung im Gesetz; Normzusammenhang</w:t>
      </w:r>
    </w:p>
    <w:p>
      <w:r>
        <w:t xml:space="preserve">3. Historische Auslegung: Entstehungsgeschichte, Gesetzgebermaterialien</w:t>
      </w:r>
    </w:p>
    <w:p>
      <w:r>
        <w:t xml:space="preserve">4. Teleologische Auslegung: Sinn und Zweck; Schutzzwecklehre</w:t>
      </w:r>
    </w:p>
    <w:p/>
    <w:p>
      <w:pPr>
        <w:pStyle w:val="Heading1"/>
      </w:pPr>
      <w:r>
        <w:t xml:space="preserve">B. Rechtsfortbildung</w:t>
      </w:r>
    </w:p>
    <w:p>
      <w:r>
        <w:t xml:space="preserve">Analogie: Planwidrige Regelungsluecke + vergleichbare Interessenlage</w:t>
      </w:r>
    </w:p>
    <w:p>
      <w:r>
        <w:t xml:space="preserve">Teleologische Reduktion: Wortlaut zu weit; Einschraenkung nach Normzweck</w:t>
      </w:r>
    </w:p>
    <w:p>
      <w:r>
        <w:t xml:space="preserve">Verfassungskonforme Auslegung: grundrechtskonforme Interpretation</w:t>
      </w:r>
    </w:p>
    <w:p/>
    <w:p>
      <w:pPr>
        <w:pStyle w:val="Heading1"/>
      </w:pPr>
      <w:r>
        <w:t xml:space="preserve">C. Anwendung auf Fall Tannenmoor/Radarwarner</w:t>
      </w:r>
    </w:p>
    <w:p>
      <w:r>
        <w:t xml:space="preserve">Kernfrage: § 134 BGB i.V.m. § 23 Abs. 1c StVO — Nichtigkeit des Werkvertrags?</w:t>
      </w:r>
    </w:p>
    <w:p>
      <w:r>
        <w:t xml:space="preserve">Ergebnis aller Kanones: Einseitiges Verbotsgesetz → Werkvertrag wirksam → Werklohn 2.380 EUR</w:t>
      </w:r>
    </w:p>
    <w:p/>
    <w:p>
      <w:pPr>
        <w:pStyle w:val="Heading1"/>
      </w:pPr>
      <w:r>
        <w:t xml:space="preserve">D. Vergleich: Schwarzarbeit vs. Radarwarner-Einbau</w:t>
      </w:r>
    </w:p>
    <w:p>
      <w:r>
        <w:t xml:space="preserve">Schwarzarbeit (BGH VII ZR 235/15): beiderseitiges Verbot → Nichtigkeit</w:t>
      </w:r>
    </w:p>
    <w:p>
      <w:r>
        <w:t xml:space="preserve">Radarwarner-Einbau: einseitiges Verbot (nur Fahrzeugfuehrer) → keine Nichtigkeit</w:t>
      </w:r>
    </w:p>
    <w:p/>
    <w:p>
      <w:pPr>
        <w:pStyle w:val="Heading1"/>
      </w:pPr>
      <w:r>
        <w:t xml:space="preserve">E. Literaturhinweise</w:t>
      </w:r>
    </w:p>
    <w:p>
      <w:r>
        <w:t xml:space="preserve">Larenz/Canaris, Methodenlehre, 3. Aufl. 1995</w:t>
      </w:r>
    </w:p>
    <w:p>
      <w:r>
        <w:t xml:space="preserve">Medicus/Petersen, AT BGB, 11. Aufl. 2016</w:t>
      </w:r>
    </w:p>
    <w:p>
      <w:r>
        <w:t xml:space="preserve">Ruethers/Fischer/Birk, Rechtstheorie, 12. Aufl. 2022</w:t>
      </w:r>
    </w:p>
    <w:p>
      <w:r>
        <w:t xml:space="preserve">dejure.org: https://dejure.org/</w:t>
      </w:r>
    </w:p>
    <w:p>
      <w:r>
        <w:t xml:space="preserve">bundesgerichtshof.de: https://www.bundesgerichtshof.de/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2026-05-30T19:37:32.197Z</dcterms:created>
  <dcterms:modified xsi:type="dcterms:W3CDTF">2026-05-30T19:37:32.197Z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