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22"/>
        </w:rPr>
        <w:t>Rechtsanwaeltinnen und Rechtsanwaelte Bremer &amp; Hellfeld</w:t>
      </w:r>
    </w:p>
    <w:p>
      <w:r>
        <w:t>Hohenzollernring 88, 50672 Koeln</w:t>
      </w:r>
    </w:p>
    <w:p>
      <w:r>
        <w:t>Telefon 0221 / 24 88 90  |  Telefax 0221 / 24 88 99</w:t>
      </w:r>
    </w:p>
    <w:p>
      <w:r>
        <w:t>kanzlei@bremer-hellfeld.koeln</w:t>
      </w:r>
    </w:p>
    <w:p>
      <w:r>
        <w:br/>
      </w:r>
    </w:p>
    <w:p>
      <w:r>
        <w:t>Marianne Albers</w:t>
      </w:r>
    </w:p>
    <w:p>
      <w:r>
        <w:t>Dr. Henning Albers</w:t>
      </w:r>
    </w:p>
    <w:p>
      <w:r>
        <w:t>Rosengartenstrasse 17</w:t>
      </w:r>
    </w:p>
    <w:p>
      <w:r>
        <w:t>50996 Koeln</w:t>
      </w:r>
    </w:p>
    <w:p>
      <w:r>
        <w:br/>
      </w:r>
    </w:p>
    <w:p>
      <w:r>
        <w:t>Koeln, 14. Mai 2025</w:t>
      </w:r>
    </w:p>
    <w:p>
      <w:r>
        <w:br/>
      </w:r>
    </w:p>
    <w:p>
      <w:r>
        <w:rPr>
          <w:b/>
        </w:rPr>
        <w:t>In Sachen Kessler ./. Albers</w:t>
      </w:r>
    </w:p>
    <w:p>
      <w:r>
        <w:rPr>
          <w:b/>
        </w:rPr>
        <w:t>Unser Zeichen: 47-25-Kel</w:t>
      </w:r>
    </w:p>
    <w:p>
      <w:r>
        <w:br/>
      </w:r>
    </w:p>
    <w:p>
      <w:r>
        <w:t>Sehr geehrte Frau Albers, sehr geehrter Herr Dr. Albers,</w:t>
      </w:r>
    </w:p>
    <w:p>
      <w:r>
        <w:t>Eheleute Kessler haben uns mit der Wahrnehmung ihrer Interessen beauftragt. Wir nehmen Bezug auf Ihren Kontakt mit unseren Mandanten in den vergangenen Wochen.</w:t>
      </w:r>
    </w:p>
    <w:p>
      <w:r>
        <w:t>Namens und in Vollmacht unserer Mandanten weisen wir die von Ihnen erhobenen Vorwuerfe zurueck. Unsere Mandanten haben den Carport ordnungsgemaess errichten lassen. Eine Vermessung durch Sie ist unsererseits nicht anerkannt. Etwaige Beschaedigungen an Ihrer Stuetzmauer stehen nach Auffassung unserer Mandanten in keinem Zusammenhang mit der von ihnen veranlassten Erdarbeiten. Die behaupteten Risse waren bereits vor Beginn der Arbeiten vorhanden.</w:t>
      </w:r>
    </w:p>
    <w:p>
      <w:r>
        <w:t>Im Uebrigen weisen wir darauf hin, dass unsere Mandanten ein Notwegerecht im Sinne von Paragraph 917 BGB beanspruchen, soweit Wartungsarbeiten am Carport oder an der Pooltechnik anders nicht durchgefuehrt werden koennen. Eine Verweigerung Ihrerseits wuerde unsere Mandanten zu rechtlichen Schritten zwingen.</w:t>
      </w:r>
    </w:p>
    <w:p>
      <w:r>
        <w:t>Wir empfehlen dringend, den Konflikt nicht weiter aussergerichtlich zuzuspitzen. Sollten Sie eine einvernehmliche Loesung wuenschen, sind unsere Mandanten zur Pruefung eines Vergleichsvorschlags grundsaetzlich bereit. Voraussetzung ist allerdings, dass Sie Ihre unsachlichen Behauptungen kuenftig unterlassen.</w:t>
      </w:r>
    </w:p>
    <w:p>
      <w:r>
        <w:t>Wir erwarten Ihre Stellungnahme bis zum 6. Juni 2025.</w:t>
      </w:r>
    </w:p>
    <w:p>
      <w:r>
        <w:br/>
      </w:r>
    </w:p>
    <w:p>
      <w:r>
        <w:t>Mit freundlichen Gruessen</w:t>
      </w:r>
    </w:p>
    <w:p>
      <w:r>
        <w:br/>
      </w:r>
    </w:p>
    <w:p>
      <w:r>
        <w:t>Bremer &amp; Hellfeld</w:t>
      </w:r>
    </w:p>
    <w:p>
      <w:r>
        <w:rPr>
          <w:i/>
        </w:rPr>
        <w:t>Dr. Friederike Bremer, Rechtsanwaeltin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