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Style w:val="Heading1"/>
        <w:jc w:val="center"/>
      </w:pPr>
      <w:r>
        <w:rPr>
          <w:b/>
          <w:bCs/>
          <w:color w:val="1B3A6B"/>
          <w:sz w:val="32"/>
          <w:szCs w:val="32"/>
        </w:rPr>
        <w:t xml:space="preserve">Klauselabgleich Redline-Fassung v5</w:t>
      </w:r>
    </w:p>
    <w:p>
      <w:pPr>
        <w:spacing w:after="400"/>
        <w:jc w:val="center"/>
      </w:pPr>
      <w:r>
        <w:rPr>
          <w:i/>
          <w:iCs/>
          <w:sz w:val="22"/>
          <w:szCs w:val="22"/>
        </w:rPr>
        <w:t xml:space="preserve">Windsysteme Norderhof AG vs. Eickmann Wirtschaftspartner Pte. Ltd.</w:t>
      </w:r>
    </w:p>
    <w:p>
      <w:pPr>
        <w:spacing w:after="600"/>
        <w:jc w:val="center"/>
      </w:pPr>
      <w:r>
        <w:rPr>
          <w:color w:val="7A7974"/>
          <w:sz w:val="18"/>
          <w:szCs w:val="18"/>
        </w:rPr>
        <w:t xml:space="preserve">AZ: MR-2026-1118 | Kanzlei Schwingenstein und Partner | Stand: 25.02.2026</w:t>
      </w:r>
    </w:p>
    <w:p>
      <w:pPr>
        <w:pStyle w:val="Heading2"/>
        <w:spacing w:after="100" w:before="300"/>
      </w:pPr>
      <w:r>
        <w:rPr>
          <w:b/>
          <w:bCs/>
          <w:color w:val="1B3A6B"/>
          <w:sz w:val="22"/>
          <w:szCs w:val="22"/>
        </w:rPr>
        <w:t xml:space="preserve">Klausel 1 — Residual-Information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</w:tblGrid>
      <w:tr>
        <w:tc>
          <w:tcPr>
            <w:shd w:fill="FDECEA"/>
          </w:tcPr>
          <w:p>
            <w:r>
              <w:rPr>
                <w:b/>
                <w:bCs/>
                <w:color w:val="CC0000"/>
                <w:sz w:val="18"/>
                <w:szCs w:val="18"/>
              </w:rPr>
              <w:t xml:space="preserve">Eickmann v1</w:t>
            </w:r>
          </w:p>
        </w:tc>
        <w:tc>
          <w:tcPr>
            <w:shd w:fill="E8F5E9"/>
          </w:tcPr>
          <w:p>
            <w:r>
              <w:rPr>
                <w:b/>
                <w:bCs/>
                <w:color w:val="006600"/>
                <w:sz w:val="18"/>
                <w:szCs w:val="18"/>
              </w:rPr>
              <w:t xml:space="preserve">Windsysteme v7</w:t>
            </w:r>
          </w:p>
        </w:tc>
      </w:tr>
      <w:tr>
        <w:tc>
          <w:p>
            <w:r>
              <w:rPr>
                <w:strike/>
                <w:color w:val="CC0000"/>
                <w:sz w:val="17"/>
                <w:szCs w:val="17"/>
              </w:rPr>
              <w:t xml:space="preserve">Empfangende Partei darf Residual Information für beliebige Zwecke nutzen. Keine Einschränkung.</w:t>
            </w:r>
          </w:p>
        </w:tc>
        <w:tc>
          <w:p>
            <w:r>
              <w:rPr>
                <w:color w:val="006600"/>
                <w:sz w:val="17"/>
                <w:szCs w:val="17"/>
              </w:rPr>
              <w:t xml:space="preserve">GESTRICHEN. Kein Residual-Information-Vorbehalt.</w:t>
            </w:r>
          </w:p>
        </w:tc>
      </w:tr>
      <w:tr>
        <w:tc>
          <w:tcPr>
            <w:gridSpan w:val="2"/>
          </w:tcPr>
          <w:p>
            <w:r>
              <w:rPr>
                <w:b/>
                <w:bCs/>
                <w:sz w:val="18"/>
                <w:szCs w:val="18"/>
              </w:rPr>
              <w:t xml:space="preserve">Status: GESTRICHEN — Windsysteme-Erfolg</w:t>
            </w:r>
          </w:p>
        </w:tc>
      </w:tr>
    </w:tbl>
    <w:p>
      <w:pPr>
        <w:spacing w:after="200"/>
      </w:pPr>
      <w:r>
        <w:t xml:space="preserve"/>
      </w:r>
    </w:p>
    <w:p>
      <w:pPr>
        <w:pStyle w:val="Heading2"/>
        <w:spacing w:after="100" w:before="300"/>
      </w:pPr>
      <w:r>
        <w:rPr>
          <w:b/>
          <w:bCs/>
          <w:color w:val="1B3A6B"/>
          <w:sz w:val="22"/>
          <w:szCs w:val="22"/>
        </w:rPr>
        <w:t xml:space="preserve">Klausel 2 — Laufzeit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</w:tblGrid>
      <w:tr>
        <w:tc>
          <w:tcPr>
            <w:shd w:fill="FDECEA"/>
          </w:tcPr>
          <w:p>
            <w:r>
              <w:rPr>
                <w:b/>
                <w:bCs/>
                <w:color w:val="CC0000"/>
                <w:sz w:val="18"/>
                <w:szCs w:val="18"/>
              </w:rPr>
              <w:t xml:space="preserve">Eickmann v1</w:t>
            </w:r>
          </w:p>
        </w:tc>
        <w:tc>
          <w:tcPr>
            <w:shd w:fill="E8F5E9"/>
          </w:tcPr>
          <w:p>
            <w:r>
              <w:rPr>
                <w:b/>
                <w:bCs/>
                <w:color w:val="006600"/>
                <w:sz w:val="18"/>
                <w:szCs w:val="18"/>
              </w:rPr>
              <w:t xml:space="preserve">Windsysteme v7</w:t>
            </w:r>
          </w:p>
        </w:tc>
      </w:tr>
      <w:tr>
        <w:tc>
          <w:p>
            <w:r>
              <w:rPr>
                <w:strike/>
                <w:color w:val="CC0000"/>
                <w:sz w:val="17"/>
                <w:szCs w:val="17"/>
              </w:rPr>
              <w:t xml:space="preserve">7 Jahre, automatisch, keine Bedingungen.</w:t>
            </w:r>
          </w:p>
        </w:tc>
        <w:tc>
          <w:p>
            <w:r>
              <w:rPr>
                <w:color w:val="006600"/>
                <w:sz w:val="17"/>
                <w:szCs w:val="17"/>
              </w:rPr>
              <w:t xml:space="preserve">3+2+2 Jahre, gestuft, zweite Verlängerung nur mit Windsysteme-Zustimmung. Max. 7 Jahre.</w:t>
            </w:r>
          </w:p>
        </w:tc>
      </w:tr>
      <w:tr>
        <w:tc>
          <w:tcPr>
            <w:gridSpan w:val="2"/>
          </w:tcPr>
          <w:p>
            <w:r>
              <w:rPr>
                <w:b/>
                <w:bCs/>
                <w:sz w:val="18"/>
                <w:szCs w:val="18"/>
              </w:rPr>
              <w:t xml:space="preserve">Status: GEÄNDERT — Kompromiss</w:t>
            </w:r>
          </w:p>
        </w:tc>
      </w:tr>
    </w:tbl>
    <w:p>
      <w:pPr>
        <w:spacing w:after="200"/>
      </w:pPr>
      <w:r>
        <w:t xml:space="preserve"/>
      </w:r>
    </w:p>
    <w:p>
      <w:pPr>
        <w:pStyle w:val="Heading2"/>
        <w:spacing w:after="100" w:before="300"/>
      </w:pPr>
      <w:r>
        <w:rPr>
          <w:b/>
          <w:bCs/>
          <w:color w:val="1B3A6B"/>
          <w:sz w:val="22"/>
          <w:szCs w:val="22"/>
        </w:rPr>
        <w:t xml:space="preserve">Klausel 3 — Vertragsstrafe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</w:tblGrid>
      <w:tr>
        <w:tc>
          <w:tcPr>
            <w:shd w:fill="FDECEA"/>
          </w:tcPr>
          <w:p>
            <w:r>
              <w:rPr>
                <w:b/>
                <w:bCs/>
                <w:color w:val="CC0000"/>
                <w:sz w:val="18"/>
                <w:szCs w:val="18"/>
              </w:rPr>
              <w:t xml:space="preserve">Eickmann v1</w:t>
            </w:r>
          </w:p>
        </w:tc>
        <w:tc>
          <w:tcPr>
            <w:shd w:fill="E8F5E9"/>
          </w:tcPr>
          <w:p>
            <w:r>
              <w:rPr>
                <w:b/>
                <w:bCs/>
                <w:color w:val="006600"/>
                <w:sz w:val="18"/>
                <w:szCs w:val="18"/>
              </w:rPr>
              <w:t xml:space="preserve">Windsysteme v7</w:t>
            </w:r>
          </w:p>
        </w:tc>
      </w:tr>
      <w:tr>
        <w:tc>
          <w:p>
            <w:r>
              <w:rPr>
                <w:strike/>
                <w:color w:val="CC0000"/>
                <w:sz w:val="17"/>
                <w:szCs w:val="17"/>
              </w:rPr>
              <w:t xml:space="preserve">250.000 EUR je Verstoß, keine Obergrenze.</w:t>
            </w:r>
          </w:p>
        </w:tc>
        <w:tc>
          <w:p>
            <w:r>
              <w:rPr>
                <w:color w:val="006600"/>
                <w:sz w:val="17"/>
                <w:szCs w:val="17"/>
              </w:rPr>
              <w:t xml:space="preserve">50.000/120.000 EUR je Verstoß (fahrlässig/vorsätzlich), Jahresdeckel 480.000 EUR.</w:t>
            </w:r>
          </w:p>
        </w:tc>
      </w:tr>
      <w:tr>
        <w:tc>
          <w:tcPr>
            <w:gridSpan w:val="2"/>
          </w:tcPr>
          <w:p>
            <w:r>
              <w:rPr>
                <w:b/>
                <w:bCs/>
                <w:sz w:val="18"/>
                <w:szCs w:val="18"/>
              </w:rPr>
              <w:t xml:space="preserve">Status: GEÄNDERT — Windsysteme-Erfolg</w:t>
            </w:r>
          </w:p>
        </w:tc>
      </w:tr>
    </w:tbl>
    <w:p>
      <w:pPr>
        <w:spacing w:after="200"/>
      </w:pPr>
      <w:r>
        <w:t xml:space="preserve"/>
      </w:r>
    </w:p>
    <w:p>
      <w:pPr>
        <w:pStyle w:val="Heading2"/>
        <w:spacing w:after="100" w:before="300"/>
      </w:pPr>
      <w:r>
        <w:rPr>
          <w:b/>
          <w:bCs/>
          <w:color w:val="1B3A6B"/>
          <w:sz w:val="22"/>
          <w:szCs w:val="22"/>
        </w:rPr>
        <w:t xml:space="preserve">Klausel 4 — Gerichtsstand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</w:tblGrid>
      <w:tr>
        <w:tc>
          <w:tcPr>
            <w:shd w:fill="FDECEA"/>
          </w:tcPr>
          <w:p>
            <w:r>
              <w:rPr>
                <w:b/>
                <w:bCs/>
                <w:color w:val="CC0000"/>
                <w:sz w:val="18"/>
                <w:szCs w:val="18"/>
              </w:rPr>
              <w:t xml:space="preserve">Eickmann v1</w:t>
            </w:r>
          </w:p>
        </w:tc>
        <w:tc>
          <w:tcPr>
            <w:shd w:fill="E8F5E9"/>
          </w:tcPr>
          <w:p>
            <w:r>
              <w:rPr>
                <w:b/>
                <w:bCs/>
                <w:color w:val="006600"/>
                <w:sz w:val="18"/>
                <w:szCs w:val="18"/>
              </w:rPr>
              <w:t xml:space="preserve">Windsysteme v7</w:t>
            </w:r>
          </w:p>
        </w:tc>
      </w:tr>
      <w:tr>
        <w:tc>
          <w:p>
            <w:r>
              <w:rPr>
                <w:strike/>
                <w:color w:val="CC0000"/>
                <w:sz w:val="17"/>
                <w:szCs w:val="17"/>
              </w:rPr>
              <w:t xml:space="preserve">SIAC, Singapur, Singapurer Recht.</w:t>
            </w:r>
          </w:p>
        </w:tc>
        <w:tc>
          <w:p>
            <w:r>
              <w:rPr>
                <w:color w:val="006600"/>
                <w:sz w:val="17"/>
                <w:szCs w:val="17"/>
              </w:rPr>
              <w:t xml:space="preserve">DIS, Hamburg, deutsches Recht. Einstweiliger Rechtsschutz möglich.</w:t>
            </w:r>
          </w:p>
        </w:tc>
      </w:tr>
      <w:tr>
        <w:tc>
          <w:tcPr>
            <w:gridSpan w:val="2"/>
          </w:tcPr>
          <w:p>
            <w:r>
              <w:rPr>
                <w:b/>
                <w:bCs/>
                <w:sz w:val="18"/>
                <w:szCs w:val="18"/>
              </w:rPr>
              <w:t xml:space="preserve">Status: GEÄNDERT — Windsysteme-Erfolg</w:t>
            </w:r>
          </w:p>
        </w:tc>
      </w:tr>
    </w:tbl>
    <w:p>
      <w:pPr>
        <w:spacing w:after="200"/>
      </w:pPr>
      <w:r>
        <w:t xml:space="preserve"/>
      </w:r>
    </w:p>
    <w:p>
      <w:pPr>
        <w:pStyle w:val="Heading2"/>
        <w:spacing w:after="100" w:before="300"/>
      </w:pPr>
      <w:r>
        <w:rPr>
          <w:b/>
          <w:bCs/>
          <w:color w:val="1B3A6B"/>
          <w:sz w:val="22"/>
          <w:szCs w:val="22"/>
        </w:rPr>
        <w:t xml:space="preserve">Klausel 5 — Exportkontrolle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</w:tblGrid>
      <w:tr>
        <w:tc>
          <w:tcPr>
            <w:shd w:fill="FDECEA"/>
          </w:tcPr>
          <w:p>
            <w:r>
              <w:rPr>
                <w:b/>
                <w:bCs/>
                <w:color w:val="CC0000"/>
                <w:sz w:val="18"/>
                <w:szCs w:val="18"/>
              </w:rPr>
              <w:t xml:space="preserve">Eickmann v1</w:t>
            </w:r>
          </w:p>
        </w:tc>
        <w:tc>
          <w:tcPr>
            <w:shd w:fill="E8F5E9"/>
          </w:tcPr>
          <w:p>
            <w:r>
              <w:rPr>
                <w:b/>
                <w:bCs/>
                <w:color w:val="006600"/>
                <w:sz w:val="18"/>
                <w:szCs w:val="18"/>
              </w:rPr>
              <w:t xml:space="preserve">Windsysteme v7</w:t>
            </w:r>
          </w:p>
        </w:tc>
      </w:tr>
      <w:tr>
        <w:tc>
          <w:p>
            <w:r>
              <w:rPr>
                <w:strike/>
                <w:color w:val="CC0000"/>
                <w:sz w:val="17"/>
                <w:szCs w:val="17"/>
              </w:rPr>
              <w:t xml:space="preserve">Nicht vorhanden.</w:t>
            </w:r>
          </w:p>
        </w:tc>
        <w:tc>
          <w:p>
            <w:r>
              <w:rPr>
                <w:color w:val="006600"/>
                <w:sz w:val="17"/>
                <w:szCs w:val="17"/>
              </w:rPr>
              <w:t xml:space="preserve">AWG/AWV/VO (EU) 267/2012, BAFA-Bedingung, Sonderkündigungsrecht.</w:t>
            </w:r>
          </w:p>
        </w:tc>
      </w:tr>
      <w:tr>
        <w:tc>
          <w:tcPr>
            <w:gridSpan w:val="2"/>
          </w:tcPr>
          <w:p>
            <w:r>
              <w:rPr>
                <w:b/>
                <w:bCs/>
                <w:sz w:val="18"/>
                <w:szCs w:val="18"/>
              </w:rPr>
              <w:t xml:space="preserve">Status: NEU EINGEFÜGT — Windsysteme-Forderung</w:t>
            </w:r>
          </w:p>
        </w:tc>
      </w:tr>
    </w:tbl>
    <w:p>
      <w:pPr>
        <w:spacing w:after="200"/>
      </w:pPr>
      <w:r>
        <w:t xml:space="preserve"/>
      </w:r>
    </w:p>
    <w:p>
      <w:pPr>
        <w:pStyle w:val="Heading2"/>
        <w:spacing w:after="100" w:before="300"/>
      </w:pPr>
      <w:r>
        <w:rPr>
          <w:b/>
          <w:bCs/>
          <w:color w:val="1B3A6B"/>
          <w:sz w:val="22"/>
          <w:szCs w:val="22"/>
        </w:rPr>
        <w:t xml:space="preserve">Klausel 6 — Konzernübertragung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</w:tblGrid>
      <w:tr>
        <w:tc>
          <w:tcPr>
            <w:shd w:fill="FDECEA"/>
          </w:tcPr>
          <w:p>
            <w:r>
              <w:rPr>
                <w:b/>
                <w:bCs/>
                <w:color w:val="CC0000"/>
                <w:sz w:val="18"/>
                <w:szCs w:val="18"/>
              </w:rPr>
              <w:t xml:space="preserve">Eickmann v1</w:t>
            </w:r>
          </w:p>
        </w:tc>
        <w:tc>
          <w:tcPr>
            <w:shd w:fill="E8F5E9"/>
          </w:tcPr>
          <w:p>
            <w:r>
              <w:rPr>
                <w:b/>
                <w:bCs/>
                <w:color w:val="006600"/>
                <w:sz w:val="18"/>
                <w:szCs w:val="18"/>
              </w:rPr>
              <w:t xml:space="preserve">Windsysteme v7</w:t>
            </w:r>
          </w:p>
        </w:tc>
      </w:tr>
      <w:tr>
        <w:tc>
          <w:p>
            <w:r>
              <w:rPr>
                <w:strike/>
                <w:color w:val="CC0000"/>
                <w:sz w:val="17"/>
                <w:szCs w:val="17"/>
              </w:rPr>
              <w:t xml:space="preserve">Frei übertragbar an alle Konzerntöchter ohne Zustimmung.</w:t>
            </w:r>
          </w:p>
        </w:tc>
        <w:tc>
          <w:p>
            <w:r>
              <w:rPr>
                <w:color w:val="006600"/>
                <w:sz w:val="17"/>
                <w:szCs w:val="17"/>
              </w:rPr>
              <w:t xml:space="preserve">Whitelist Annex B; Mehr Novin Energy Co. explizit ausgeschlossen. Zustimmungserfordernis für nicht gelistete Gesellschaften.</w:t>
            </w:r>
          </w:p>
        </w:tc>
      </w:tr>
      <w:tr>
        <w:tc>
          <w:tcPr>
            <w:gridSpan w:val="2"/>
          </w:tcPr>
          <w:p>
            <w:r>
              <w:rPr>
                <w:b/>
                <w:bCs/>
                <w:sz w:val="18"/>
                <w:szCs w:val="18"/>
              </w:rPr>
              <w:t xml:space="preserve">Status: GEÄNDERT — Windsysteme-Erfolg</w:t>
            </w:r>
          </w:p>
        </w:tc>
      </w:tr>
    </w:tbl>
    <w:p>
      <w:pPr>
        <w:spacing w:after="200"/>
      </w:pPr>
      <w:r>
        <w:t xml:space="preserve"/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Klauselabgleich Redline v5</dc:title>
  <dc:creator>RA Dr. Mark Roosendaal</dc:creator>
  <cp:lastModifiedBy>Un-named</cp:lastModifiedBy>
  <cp:revision>1</cp:revision>
  <dcterms:created xsi:type="dcterms:W3CDTF">2026-05-30T20:14:00.973Z</dcterms:created>
  <dcterms:modified xsi:type="dcterms:W3CDTF">2026-05-30T20:14:00.973Z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