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200"/>
        <w:jc w:val="center"/>
      </w:pPr>
      <w:r>
        <w:rPr>
          <w:b/>
          <w:bCs/>
          <w:color w:val="1B3A6B"/>
          <w:sz w:val="28"/>
          <w:szCs w:val="28"/>
        </w:rPr>
        <w:t xml:space="preserve">Geheimhaltungsvereinbarung / Non-Disclosure Agreement</w:t>
      </w:r>
    </w:p>
    <w:p>
      <w:pPr>
        <w:spacing w:after="400"/>
        <w:jc w:val="center"/>
      </w:pPr>
      <w:r>
        <w:rPr>
          <w:i/>
          <w:iCs/>
          <w:sz w:val="22"/>
          <w:szCs w:val="22"/>
        </w:rPr>
        <w:t xml:space="preserve">NDA v7 — 25. Februar 2026 / February 25, 2026</w:t>
      </w:r>
    </w:p>
    <w:p>
      <w:pPr>
        <w:spacing w:after="100"/>
      </w:pPr>
      <w:r>
        <w:rPr>
          <w:b/>
          <w:bCs/>
          <w:sz w:val="22"/>
          <w:szCs w:val="22"/>
        </w:rPr>
        <w:t xml:space="preserve">Zwischen / Between</w:t>
      </w:r>
    </w:p>
    <w:p>
      <w:pPr>
        <w:spacing w:after="80"/>
      </w:pPr>
      <w:r>
        <w:rPr>
          <w:sz w:val="20"/>
          <w:szCs w:val="20"/>
        </w:rPr>
        <w:t xml:space="preserve">Windsysteme Norderhof AG, Gottorfer Allee 88, 22848 Norderstedt, Deutschland</w:t>
      </w:r>
    </w:p>
    <w:p>
      <w:pPr>
        <w:spacing w:after="80"/>
      </w:pPr>
      <w:r>
        <w:rPr>
          <w:i/>
          <w:iCs/>
          <w:sz w:val="20"/>
          <w:szCs w:val="20"/>
        </w:rPr>
        <w:t xml:space="preserve">und / and</w:t>
      </w:r>
    </w:p>
    <w:p>
      <w:pPr>
        <w:spacing w:after="300"/>
      </w:pPr>
      <w:r>
        <w:rPr>
          <w:sz w:val="20"/>
          <w:szCs w:val="20"/>
        </w:rPr>
        <w:t xml:space="preserve">Eickmann Wirtschaftspartner Pte. Ltd., 50 Beach Road, #12-01 Shaw Tower, Singapore 189720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50%"/>
            <w:shd w:fill="E8F0F7" w:color="E8F0F7" w:val="solid"/>
          </w:tcPr>
          <w:p>
            <w:r>
              <w:rPr>
                <w:b/>
                <w:bCs/>
                <w:color w:val="1B3A6B"/>
                <w:sz w:val="20"/>
                <w:szCs w:val="20"/>
              </w:rPr>
              <w:t xml:space="preserve">§ 1 — Vertragszweck</w:t>
            </w:r>
          </w:p>
        </w:tc>
        <w:tc>
          <w:tcPr>
            <w:tcW w:type="pct" w:w="50%"/>
            <w:shd w:fill="F7EEE8" w:color="F7EEE8" w:val="solid"/>
          </w:tcPr>
          <w:p>
            <w:r>
              <w:rPr>
                <w:b/>
                <w:bCs/>
                <w:color w:val="1B3A6B"/>
                <w:sz w:val="20"/>
                <w:szCs w:val="20"/>
              </w:rPr>
              <w:t xml:space="preserve">Art. 1 — Purpose</w:t>
            </w:r>
          </w:p>
        </w:tc>
      </w:tr>
      <w:tr>
        <w:tc>
          <w:tcPr>
            <w:tcW w:type="pct" w:w="50%"/>
          </w:tcPr>
          <w:p>
            <w:pPr>
              <w:spacing w:after="100"/>
            </w:pPr>
            <w:r>
              <w:rPr>
                <w:sz w:val="18"/>
                <w:szCs w:val="18"/>
              </w:rPr>
              <w:t xml:space="preserve">Regelung des Austauschs und des Schutzes vertraulicher Informationen im Rahmen der Due-Diligence-Prüfung sowie der Planung und des Betriebs des geplanten Joint Ventures WindAsia Pte. Ltd.</w:t>
            </w:r>
          </w:p>
        </w:tc>
        <w:tc>
          <w:tcPr>
            <w:tcW w:type="pct" w:w="50%"/>
          </w:tcPr>
          <w:p>
            <w:pPr>
              <w:spacing w:after="100"/>
            </w:pPr>
            <w:r>
              <w:rPr>
                <w:sz w:val="18"/>
                <w:szCs w:val="18"/>
              </w:rPr>
              <w:t xml:space="preserve">Regulation of the exchange and protection of confidential information in the context of due diligence, planning and operation of the proposed joint venture WindAsia Pte. Ltd.</w:t>
            </w:r>
          </w:p>
        </w:tc>
      </w:tr>
    </w:tbl>
    <w:p>
      <w:pPr>
        <w:spacing w:after="200"/>
      </w:pPr>
      <w:r>
        <w:t xml:space="preserve"/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50%"/>
            <w:shd w:fill="E8F0F7" w:color="E8F0F7" w:val="solid"/>
          </w:tcPr>
          <w:p>
            <w:r>
              <w:rPr>
                <w:b/>
                <w:bCs/>
                <w:color w:val="1B3A6B"/>
                <w:sz w:val="20"/>
                <w:szCs w:val="20"/>
              </w:rPr>
              <w:t xml:space="preserve">§ 3 — Vertrauliche Informationen</w:t>
            </w:r>
          </w:p>
        </w:tc>
        <w:tc>
          <w:tcPr>
            <w:tcW w:type="pct" w:w="50%"/>
            <w:shd w:fill="F7EEE8" w:color="F7EEE8" w:val="solid"/>
          </w:tcPr>
          <w:p>
            <w:r>
              <w:rPr>
                <w:b/>
                <w:bCs/>
                <w:color w:val="1B3A6B"/>
                <w:sz w:val="20"/>
                <w:szCs w:val="20"/>
              </w:rPr>
              <w:t xml:space="preserve">Art. 3 — Confidential Information</w:t>
            </w:r>
          </w:p>
        </w:tc>
      </w:tr>
      <w:tr>
        <w:tc>
          <w:tcPr>
            <w:tcW w:type="pct" w:w="50%"/>
          </w:tcPr>
          <w:p>
            <w:pPr>
              <w:spacing w:after="100"/>
            </w:pPr>
            <w:r>
              <w:rPr>
                <w:sz w:val="18"/>
                <w:szCs w:val="18"/>
              </w:rPr>
              <w:t xml:space="preserve">Alle Informationen, Daten, Unterlagen, Zeichnungen, Konstruktionspläne, Geschäftsgeheimnisse, Kundenlisten, Finanzinformationen, technische Spezifikationen und sonstiges Know-how, die im Rahmen des Vertragszwecks offenbart werden. Ausnahmen: öffentlich bekannte, eigenständig entwickelte oder von Dritten ohne Bindung erhaltene Informationen.</w:t>
            </w:r>
          </w:p>
        </w:tc>
        <w:tc>
          <w:tcPr>
            <w:tcW w:type="pct" w:w="50%"/>
          </w:tcPr>
          <w:p>
            <w:pPr>
              <w:spacing w:after="100"/>
            </w:pPr>
            <w:r>
              <w:rPr>
                <w:sz w:val="18"/>
                <w:szCs w:val="18"/>
              </w:rPr>
              <w:t xml:space="preserve">All information, data, documents, drawings, engineering plans, trade secrets, customer lists, financial data, technical specifications and other know-how disclosed in connection with the Purpose. Exceptions: publicly known information, independently developed information, or information received from third parties without restriction.</w:t>
            </w:r>
          </w:p>
        </w:tc>
      </w:tr>
    </w:tbl>
    <w:p>
      <w:pPr>
        <w:spacing w:after="200"/>
      </w:pPr>
      <w:r>
        <w:t xml:space="preserve"/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50%"/>
            <w:shd w:fill="E8F0F7" w:color="E8F0F7" w:val="solid"/>
          </w:tcPr>
          <w:p>
            <w:r>
              <w:rPr>
                <w:b/>
                <w:bCs/>
                <w:color w:val="1B3A6B"/>
                <w:sz w:val="20"/>
                <w:szCs w:val="20"/>
              </w:rPr>
              <w:t xml:space="preserve">§ 7 — Laufzeit</w:t>
            </w:r>
          </w:p>
        </w:tc>
        <w:tc>
          <w:tcPr>
            <w:tcW w:type="pct" w:w="50%"/>
            <w:shd w:fill="F7EEE8" w:color="F7EEE8" w:val="solid"/>
          </w:tcPr>
          <w:p>
            <w:r>
              <w:rPr>
                <w:b/>
                <w:bCs/>
                <w:color w:val="1B3A6B"/>
                <w:sz w:val="20"/>
                <w:szCs w:val="20"/>
              </w:rPr>
              <w:t xml:space="preserve">Art. 7 — Term</w:t>
            </w:r>
          </w:p>
        </w:tc>
      </w:tr>
      <w:tr>
        <w:tc>
          <w:tcPr>
            <w:tcW w:type="pct" w:w="50%"/>
          </w:tcPr>
          <w:p>
            <w:pPr>
              <w:spacing w:after="100"/>
            </w:pPr>
            <w:r>
              <w:rPr>
                <w:sz w:val="18"/>
                <w:szCs w:val="18"/>
              </w:rPr>
              <w:t xml:space="preserve">Grundlaufzeit 3 Jahre. Verlängerung um 2 Jahre bei JV-Hauptvertragsabschluss innerhalb von 24 Monaten. Zweite Verlängerung um 2 Jahre durch schriftliche Einigung. Maximale Gesamtlaufzeit: 7 Jahre.</w:t>
            </w:r>
          </w:p>
        </w:tc>
        <w:tc>
          <w:tcPr>
            <w:tcW w:type="pct" w:w="50%"/>
          </w:tcPr>
          <w:p>
            <w:pPr>
              <w:spacing w:after="100"/>
            </w:pPr>
            <w:r>
              <w:rPr>
                <w:sz w:val="18"/>
                <w:szCs w:val="18"/>
              </w:rPr>
              <w:t xml:space="preserve">Base term of 3 years. Extension by 2 years if the JV main agreement is signed within 24 months. Second extension by 2 years by written agreement. Maximum total term: 7 years.</w:t>
            </w:r>
          </w:p>
        </w:tc>
      </w:tr>
    </w:tbl>
    <w:p>
      <w:pPr>
        <w:spacing w:after="200"/>
      </w:pPr>
      <w:r>
        <w:t xml:space="preserve"/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50%"/>
            <w:shd w:fill="E8F0F7" w:color="E8F0F7" w:val="solid"/>
          </w:tcPr>
          <w:p>
            <w:r>
              <w:rPr>
                <w:b/>
                <w:bCs/>
                <w:color w:val="1B3A6B"/>
                <w:sz w:val="20"/>
                <w:szCs w:val="20"/>
              </w:rPr>
              <w:t xml:space="preserve">§ 9 — Vertragsstrafe</w:t>
            </w:r>
          </w:p>
        </w:tc>
        <w:tc>
          <w:tcPr>
            <w:tcW w:type="pct" w:w="50%"/>
            <w:shd w:fill="F7EEE8" w:color="F7EEE8" w:val="solid"/>
          </w:tcPr>
          <w:p>
            <w:r>
              <w:rPr>
                <w:b/>
                <w:bCs/>
                <w:color w:val="1B3A6B"/>
                <w:sz w:val="20"/>
                <w:szCs w:val="20"/>
              </w:rPr>
              <w:t xml:space="preserve">Art. 9 — Liquidated Damages</w:t>
            </w:r>
          </w:p>
        </w:tc>
      </w:tr>
      <w:tr>
        <w:tc>
          <w:tcPr>
            <w:tcW w:type="pct" w:w="50%"/>
          </w:tcPr>
          <w:p>
            <w:pPr>
              <w:spacing w:after="100"/>
            </w:pPr>
            <w:r>
              <w:rPr>
                <w:sz w:val="18"/>
                <w:szCs w:val="18"/>
              </w:rPr>
              <w:t xml:space="preserve">Fahrlässige Verletzung: EUR 50.000 je Verstoß. Grob fahrlässige / vorsätzliche Verletzung: EUR 120.000 je Verstoß. Jahresdeckel: EUR 480.000. Schadensersatz bleibt vorbehalten.</w:t>
            </w:r>
          </w:p>
        </w:tc>
        <w:tc>
          <w:tcPr>
            <w:tcW w:type="pct" w:w="50%"/>
          </w:tcPr>
          <w:p>
            <w:pPr>
              <w:spacing w:after="100"/>
            </w:pPr>
            <w:r>
              <w:rPr>
                <w:sz w:val="18"/>
                <w:szCs w:val="18"/>
              </w:rPr>
              <w:t xml:space="preserve">Negligent breach: EUR 50,000 per incident. Gross negligent / intentional breach: EUR 120,000 per incident. Annual cap: EUR 480,000. Right to claim further damages is reserved.</w:t>
            </w:r>
          </w:p>
        </w:tc>
      </w:tr>
    </w:tbl>
    <w:p>
      <w:pPr>
        <w:spacing w:after="200"/>
      </w:pPr>
      <w:r>
        <w:t xml:space="preserve"/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50%"/>
            <w:shd w:fill="E8F0F7" w:color="E8F0F7" w:val="solid"/>
          </w:tcPr>
          <w:p>
            <w:r>
              <w:rPr>
                <w:b/>
                <w:bCs/>
                <w:color w:val="1B3A6B"/>
                <w:sz w:val="20"/>
                <w:szCs w:val="20"/>
              </w:rPr>
              <w:t xml:space="preserve">§ 11 — Exportkontrolle</w:t>
            </w:r>
          </w:p>
        </w:tc>
        <w:tc>
          <w:tcPr>
            <w:tcW w:type="pct" w:w="50%"/>
            <w:shd w:fill="F7EEE8" w:color="F7EEE8" w:val="solid"/>
          </w:tcPr>
          <w:p>
            <w:r>
              <w:rPr>
                <w:b/>
                <w:bCs/>
                <w:color w:val="1B3A6B"/>
                <w:sz w:val="20"/>
                <w:szCs w:val="20"/>
              </w:rPr>
              <w:t xml:space="preserve">Art. 11 — Export Controls</w:t>
            </w:r>
          </w:p>
        </w:tc>
      </w:tr>
      <w:tr>
        <w:tc>
          <w:tcPr>
            <w:tcW w:type="pct" w:w="50%"/>
          </w:tcPr>
          <w:p>
            <w:pPr>
              <w:spacing w:after="100"/>
            </w:pPr>
            <w:r>
              <w:rPr>
                <w:sz w:val="18"/>
                <w:szCs w:val="18"/>
              </w:rPr>
              <w:t xml:space="preserve">Einhaltung von AWG, AWV, VO (EU) 267/2012 (Iran) und VO (EU) 2021/821 (Dual-Use). Iran-Kontext: Informationsaustausch nur nach positiver BAFA-Vorabauskunft (Az. 4022-26/Iran-WS-188). Sonderkündigungsrecht bei Sanktionsverstoß.</w:t>
            </w:r>
          </w:p>
        </w:tc>
        <w:tc>
          <w:tcPr>
            <w:tcW w:type="pct" w:w="50%"/>
          </w:tcPr>
          <w:p>
            <w:pPr>
              <w:spacing w:after="100"/>
            </w:pPr>
            <w:r>
              <w:rPr>
                <w:sz w:val="18"/>
                <w:szCs w:val="18"/>
              </w:rPr>
              <w:t xml:space="preserve">Compliance with AWG, AWV, Regulation (EU) 267/2012 (Iran) and Regulation (EU) 2021/821 (Dual-Use). Iran context: information exchange only after positive BAFA pre-inquiry (ref. 4022-26/Iran-WS-188). Right of extraordinary termination in case of sanctions violation.</w:t>
            </w:r>
          </w:p>
        </w:tc>
      </w:tr>
    </w:tbl>
    <w:p>
      <w:pPr>
        <w:spacing w:after="200"/>
      </w:pPr>
      <w:r>
        <w:t xml:space="preserve"/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50%"/>
            <w:shd w:fill="E8F0F7" w:color="E8F0F7" w:val="solid"/>
          </w:tcPr>
          <w:p>
            <w:r>
              <w:rPr>
                <w:b/>
                <w:bCs/>
                <w:color w:val="1B3A6B"/>
                <w:sz w:val="20"/>
                <w:szCs w:val="20"/>
              </w:rPr>
              <w:t xml:space="preserve">§ 15 — Recht und Streitbeilegung</w:t>
            </w:r>
          </w:p>
        </w:tc>
        <w:tc>
          <w:tcPr>
            <w:tcW w:type="pct" w:w="50%"/>
            <w:shd w:fill="F7EEE8" w:color="F7EEE8" w:val="solid"/>
          </w:tcPr>
          <w:p>
            <w:r>
              <w:rPr>
                <w:b/>
                <w:bCs/>
                <w:color w:val="1B3A6B"/>
                <w:sz w:val="20"/>
                <w:szCs w:val="20"/>
              </w:rPr>
              <w:t xml:space="preserve">Art. 15 — Governing Law and Dispute Resolution</w:t>
            </w:r>
          </w:p>
        </w:tc>
      </w:tr>
      <w:tr>
        <w:tc>
          <w:tcPr>
            <w:tcW w:type="pct" w:w="50%"/>
          </w:tcPr>
          <w:p>
            <w:pPr>
              <w:spacing w:after="100"/>
            </w:pPr>
            <w:r>
              <w:rPr>
                <w:sz w:val="18"/>
                <w:szCs w:val="18"/>
              </w:rPr>
              <w:t xml:space="preserve">Deutsches Recht. DIS-Schiedsverfahren, Schiedsort Hamburg, Schiedssprache Deutsch, 3 Schiedsrichter. Einstweiliger Rechtsschutz vor staatlichen Gerichten bleibt möglich.</w:t>
            </w:r>
          </w:p>
        </w:tc>
        <w:tc>
          <w:tcPr>
            <w:tcW w:type="pct" w:w="50%"/>
          </w:tcPr>
          <w:p>
            <w:pPr>
              <w:spacing w:after="100"/>
            </w:pPr>
            <w:r>
              <w:rPr>
                <w:sz w:val="18"/>
                <w:szCs w:val="18"/>
              </w:rPr>
              <w:t xml:space="preserve">German law. DIS arbitration, seat Hamburg, language German, 3 arbitrators. Interim relief before state courts remains available.</w:t>
            </w:r>
          </w:p>
        </w:tc>
      </w:tr>
    </w:tbl>
    <w:p>
      <w:pPr>
        <w:spacing w:after="200"/>
      </w:pPr>
      <w:r>
        <w:t xml:space="preserve"/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50%"/>
            <w:shd w:fill="E8F0F7" w:color="E8F0F7" w:val="solid"/>
          </w:tcPr>
          <w:p>
            <w:r>
              <w:rPr>
                <w:b/>
                <w:bCs/>
                <w:color w:val="1B3A6B"/>
                <w:sz w:val="20"/>
                <w:szCs w:val="20"/>
              </w:rPr>
              <w:t xml:space="preserve">§ 18 — Übertragungsverbot</w:t>
            </w:r>
          </w:p>
        </w:tc>
        <w:tc>
          <w:tcPr>
            <w:tcW w:type="pct" w:w="50%"/>
            <w:shd w:fill="F7EEE8" w:color="F7EEE8" w:val="solid"/>
          </w:tcPr>
          <w:p>
            <w:r>
              <w:rPr>
                <w:b/>
                <w:bCs/>
                <w:color w:val="1B3A6B"/>
                <w:sz w:val="20"/>
                <w:szCs w:val="20"/>
              </w:rPr>
              <w:t xml:space="preserve">Art. 18 — Assignment</w:t>
            </w:r>
          </w:p>
        </w:tc>
      </w:tr>
      <w:tr>
        <w:tc>
          <w:tcPr>
            <w:tcW w:type="pct" w:w="50%"/>
          </w:tcPr>
          <w:p>
            <w:pPr>
              <w:spacing w:after="100"/>
            </w:pPr>
            <w:r>
              <w:rPr>
                <w:sz w:val="18"/>
                <w:szCs w:val="18"/>
              </w:rPr>
              <w:t xml:space="preserve">Grundsätzliches Übertragungsverbot. Konzernübertragungen nur an Whitelist-Gesellschaften (Annex B), mit Benachrichtigungspflicht und Schuldbeitritt. Mehr Novin Energy Co. und Gesellschaften in sanktionierten Rechtsräumen ausdrücklich ausgeschlossen.</w:t>
            </w:r>
          </w:p>
        </w:tc>
        <w:tc>
          <w:tcPr>
            <w:tcW w:type="pct" w:w="50%"/>
          </w:tcPr>
          <w:p>
            <w:pPr>
              <w:spacing w:after="100"/>
            </w:pPr>
            <w:r>
              <w:rPr>
                <w:sz w:val="18"/>
                <w:szCs w:val="18"/>
              </w:rPr>
              <w:t xml:space="preserve">General prohibition on assignment. Intra-group transfers only to whitelist entities (Annex B), with notification obligation and assumption of obligations. Mehr Novin Energy Co. and entities in sanctioned jurisdictions expressly excluded.</w:t>
            </w:r>
          </w:p>
        </w:tc>
      </w:tr>
    </w:tbl>
    <w:p>
      <w:pPr>
        <w:spacing w:after="200"/>
      </w:pPr>
      <w:r>
        <w:t xml:space="preserve"/>
      </w:r>
    </w:p>
    <w:p>
      <w:pPr>
        <w:spacing w:after="200" w:before="400"/>
      </w:pPr>
      <w:r>
        <w:rPr>
          <w:b/>
          <w:bCs/>
          <w:sz w:val="22"/>
          <w:szCs w:val="22"/>
        </w:rPr>
        <w:t xml:space="preserve">Unterschriften / Signatures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p>
            <w:r>
              <w:rPr>
                <w:sz w:val="18"/>
                <w:szCs w:val="18"/>
              </w:rPr>
              <w:t xml:space="preserve">Dr. Henning Norderhof (CEO)
Windsysteme Norderhof AG
________________________
Datum: 25.02.2026</w:t>
            </w:r>
          </w:p>
        </w:tc>
        <w:tc>
          <w:p>
            <w:r>
              <w:rPr>
                <w:sz w:val="18"/>
                <w:szCs w:val="18"/>
              </w:rPr>
              <w:t xml:space="preserve">Frederick Eickmann (Managing Director)
Eickmann Wirtschaftspartner Pte. Ltd.
________________________
Date: 25.02.2026</w:t>
            </w:r>
          </w:p>
        </w:tc>
      </w:tr>
      <w:tr>
        <w:tc>
          <w:p>
            <w:r>
              <w:rPr>
                <w:sz w:val="18"/>
                <w:szCs w:val="18"/>
              </w:rPr>
              <w:t xml:space="preserve">Dr. Aram Eichenmuller (CFO)
Windsysteme Norderhof AG
________________________
Datum: 25.02.2026</w:t>
            </w:r>
          </w:p>
        </w:tc>
        <w:tc>
          <w:p>
            <w:r>
              <w:t xml:space="preserve"/>
            </w:r>
          </w:p>
        </w:tc>
      </w:tr>
    </w:tbl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Geheimhaltungsvereinbarung NDA v7 Windsysteme / Eickmann</dc:title>
  <dc:creator>Schwingenstein und Partner</dc:creator>
  <cp:lastModifiedBy>Un-named</cp:lastModifiedBy>
  <cp:revision>1</cp:revision>
  <dcterms:created xsi:type="dcterms:W3CDTF">2026-05-30T20:14:00.907Z</dcterms:created>
  <dcterms:modified xsi:type="dcterms:W3CDTF">2026-05-30T20:14:00.907Z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