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rPr>
          <w:b/>
          <w:bCs/>
          <w:color w:val="1B3A6B"/>
          <w:sz w:val="36"/>
          <w:szCs w:val="36"/>
        </w:rPr>
        <w:t xml:space="preserve">Vorstandsvorlage</w:t>
      </w:r>
    </w:p>
    <w:p>
      <w:pPr>
        <w:spacing w:after="200"/>
        <w:jc w:val="center"/>
      </w:pPr>
      <w:r>
        <w:rPr>
          <w:i/>
          <w:iCs/>
          <w:sz w:val="24"/>
          <w:szCs w:val="24"/>
        </w:rPr>
        <w:t xml:space="preserve">NDA-Verhandlung Eickmann Wirtschaftspartner Pte. Ltd.</w:t>
      </w:r>
    </w:p>
    <w:p>
      <w:pPr>
        <w:spacing w:after="400"/>
        <w:jc w:val="center"/>
      </w:pPr>
      <w:r>
        <w:rPr>
          <w:sz w:val="22"/>
          <w:szCs w:val="22"/>
        </w:rPr>
        <w:t xml:space="preserve">Handlungsempfehlungen für Vorstand Windsysteme Norderhof AG</w:t>
      </w:r>
    </w:p>
    <w:p>
      <w:pPr>
        <w:spacing w:after="100"/>
      </w:pPr>
      <w:r>
        <w:rPr>
          <w:sz w:val="20"/>
          <w:szCs w:val="20"/>
        </w:rPr>
        <w:t xml:space="preserve">An: Dr. Henning Norderhof (CEO), Dr. Iva Tannenmoor (CTO), Dr. Aram Eichenmuller (CFO)</w:t>
      </w:r>
    </w:p>
    <w:p>
      <w:pPr>
        <w:spacing w:after="100"/>
      </w:pPr>
      <w:r>
        <w:rPr>
          <w:sz w:val="20"/>
          <w:szCs w:val="20"/>
        </w:rPr>
        <w:t xml:space="preserve">Von: RA Dr. Mark Roosendaal, Schwingenstein und Partner</w:t>
      </w:r>
    </w:p>
    <w:p>
      <w:pPr>
        <w:spacing w:after="400"/>
      </w:pPr>
      <w:r>
        <w:rPr>
          <w:sz w:val="20"/>
          <w:szCs w:val="20"/>
        </w:rPr>
        <w:t xml:space="preserve">Datum: 26. Februar 2026 | AZ: MR-2026-1118</w:t>
      </w:r>
    </w:p>
    <w:p>
      <w:pPr>
        <w:pStyle w:val="Heading2"/>
        <w:spacing w:after="150"/>
      </w:pPr>
      <w:r>
        <w:rPr>
          <w:b/>
          <w:bCs/>
          <w:sz w:val="24"/>
          <w:szCs w:val="24"/>
        </w:rPr>
        <w:t xml:space="preserve">1. Executive Summary</w:t>
      </w:r>
    </w:p>
    <w:p>
      <w:pPr>
        <w:spacing w:after="300"/>
      </w:pPr>
      <w:r>
        <w:rPr>
          <w:sz w:val="20"/>
          <w:szCs w:val="20"/>
        </w:rPr>
        <w:t xml:space="preserve">Das NDA v7 mit Eickmann Wirtschaftspartner Pte. Ltd. wurde am 25. Februar 2026 unterzeichnet. Alle acht kritischen Verhandlungsziele wurden erreicht oder im Kompromiss für Windsysteme vorteilhaft gelöst.</w:t>
      </w:r>
    </w:p>
    <w:p>
      <w:pPr>
        <w:pStyle w:val="Heading2"/>
        <w:spacing w:after="150"/>
      </w:pPr>
      <w:r>
        <w:rPr>
          <w:b/>
          <w:bCs/>
          <w:sz w:val="24"/>
          <w:szCs w:val="24"/>
        </w:rPr>
        <w:t xml:space="preserve">2. Kernergebnisse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shd w:fill="E8F0F7"/>
          </w:tcPr>
          <w:p>
            <w:r>
              <w:rPr>
                <w:b/>
                <w:bCs/>
              </w:rPr>
              <w:t xml:space="preserve">Thema</w:t>
            </w:r>
          </w:p>
        </w:tc>
        <w:tc>
          <w:tcPr>
            <w:shd w:fill="E8F0F7"/>
          </w:tcPr>
          <w:p>
            <w:r>
              <w:rPr>
                <w:b/>
                <w:bCs/>
              </w:rPr>
              <w:t xml:space="preserve">Ergebnis</w:t>
            </w:r>
          </w:p>
        </w:tc>
        <w:tc>
          <w:tcPr>
            <w:shd w:fill="E8F0F7"/>
          </w:tcPr>
          <w:p>
            <w:r>
              <w:rPr>
                <w:b/>
                <w:bCs/>
              </w:rPr>
              <w:t xml:space="preserve">Bewertung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Residual-Information-Klausel</w:t>
            </w:r>
          </w:p>
        </w:tc>
        <w:tc>
          <w:p>
            <w:r>
              <w:rPr>
                <w:sz w:val="18"/>
                <w:szCs w:val="18"/>
              </w:rPr>
              <w:t xml:space="preserve">Vollständig gestrichen</w:t>
            </w:r>
          </w:p>
        </w:tc>
        <w:tc>
          <w:p>
            <w:r>
              <w:rPr>
                <w:b/>
                <w:bCs/>
                <w:sz w:val="18"/>
                <w:szCs w:val="18"/>
              </w:rPr>
              <w:t xml:space="preserve">Sehr gut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Gerichtsstand</w:t>
            </w:r>
          </w:p>
        </w:tc>
        <w:tc>
          <w:p>
            <w:r>
              <w:rPr>
                <w:sz w:val="18"/>
                <w:szCs w:val="18"/>
              </w:rPr>
              <w:t xml:space="preserve">DIS Hamburg, deutsches Recht</w:t>
            </w:r>
          </w:p>
        </w:tc>
        <w:tc>
          <w:p>
            <w:r>
              <w:rPr>
                <w:b/>
                <w:bCs/>
                <w:sz w:val="18"/>
                <w:szCs w:val="18"/>
              </w:rPr>
              <w:t xml:space="preserve">Sehr gut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Exportkontrolle Iran</w:t>
            </w:r>
          </w:p>
        </w:tc>
        <w:tc>
          <w:p>
            <w:r>
              <w:rPr>
                <w:sz w:val="18"/>
                <w:szCs w:val="18"/>
              </w:rPr>
              <w:t xml:space="preserve">BAFA-Bedingung eingefügt</w:t>
            </w:r>
          </w:p>
        </w:tc>
        <w:tc>
          <w:p>
            <w:r>
              <w:rPr>
                <w:b/>
                <w:bCs/>
                <w:sz w:val="18"/>
                <w:szCs w:val="18"/>
              </w:rPr>
              <w:t xml:space="preserve">Sehr gut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Konzernübertragung</w:t>
            </w:r>
          </w:p>
        </w:tc>
        <w:tc>
          <w:p>
            <w:r>
              <w:rPr>
                <w:sz w:val="18"/>
                <w:szCs w:val="18"/>
              </w:rPr>
              <w:t xml:space="preserve">Whitelist mit Iran-Ausschluss</w:t>
            </w:r>
          </w:p>
        </w:tc>
        <w:tc>
          <w:p>
            <w:r>
              <w:rPr>
                <w:b w:val="false"/>
                <w:bCs w:val="false"/>
                <w:sz w:val="18"/>
                <w:szCs w:val="18"/>
              </w:rPr>
              <w:t xml:space="preserve">Gut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Vertragsstrafe</w:t>
            </w:r>
          </w:p>
        </w:tc>
        <w:tc>
          <w:p>
            <w:r>
              <w:rPr>
                <w:sz w:val="18"/>
                <w:szCs w:val="18"/>
              </w:rPr>
              <w:t xml:space="preserve">50K/120K EUR, Jahresdeckel 480K</w:t>
            </w:r>
          </w:p>
        </w:tc>
        <w:tc>
          <w:p>
            <w:r>
              <w:rPr>
                <w:b w:val="false"/>
                <w:bCs w:val="false"/>
                <w:sz w:val="18"/>
                <w:szCs w:val="18"/>
              </w:rPr>
              <w:t xml:space="preserve">Gut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Laufzeit</w:t>
            </w:r>
          </w:p>
        </w:tc>
        <w:tc>
          <w:p>
            <w:r>
              <w:rPr>
                <w:sz w:val="18"/>
                <w:szCs w:val="18"/>
              </w:rPr>
              <w:t xml:space="preserve">Gestuft 3+2+2 Jahre</w:t>
            </w:r>
          </w:p>
        </w:tc>
        <w:tc>
          <w:p>
            <w:r>
              <w:rPr>
                <w:b w:val="false"/>
                <w:bCs w:val="false"/>
                <w:sz w:val="18"/>
                <w:szCs w:val="18"/>
              </w:rPr>
              <w:t xml:space="preserve">Akzeptabel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Mitarbeiter-Abwerbung</w:t>
            </w:r>
          </w:p>
        </w:tc>
        <w:tc>
          <w:p>
            <w:r>
              <w:rPr>
                <w:sz w:val="18"/>
                <w:szCs w:val="18"/>
              </w:rPr>
              <w:t xml:space="preserve">100K EUR je Verstoß, Annex A</w:t>
            </w:r>
          </w:p>
        </w:tc>
        <w:tc>
          <w:p>
            <w:r>
              <w:rPr>
                <w:b w:val="false"/>
                <w:bCs w:val="false"/>
                <w:sz w:val="18"/>
                <w:szCs w:val="18"/>
              </w:rPr>
              <w:t xml:space="preserve">Akzeptabel</w:t>
            </w:r>
          </w:p>
        </w:tc>
      </w:tr>
    </w:tbl>
    <w:p>
      <w:pPr>
        <w:pStyle w:val="Heading2"/>
        <w:spacing w:after="150" w:before="400"/>
      </w:pPr>
      <w:r>
        <w:rPr>
          <w:b/>
          <w:bCs/>
          <w:sz w:val="24"/>
          <w:szCs w:val="24"/>
        </w:rPr>
        <w:t xml:space="preserve">3. Offene Handlungsbedarfe</w:t>
      </w:r>
    </w:p>
    <w:p>
      <w:pPr>
        <w:spacing w:after="100"/>
      </w:pPr>
      <w:r>
        <w:rPr>
          <w:sz w:val="20"/>
          <w:szCs w:val="20"/>
        </w:rPr>
        <w:t xml:space="preserve">A. BAFA-Vorabauskunft (Az. 4022-26/Iran-WS-188): Kanzlei verfolgt aktiv. Kein Iran-Datenaustausch bis positivem Bescheid.</w:t>
      </w:r>
    </w:p>
    <w:p>
      <w:pPr>
        <w:spacing w:after="100"/>
      </w:pPr>
      <w:r>
        <w:rPr>
          <w:sz w:val="20"/>
          <w:szCs w:val="20"/>
        </w:rPr>
        <w:t xml:space="preserve">B. IT-Security-Nachweis Eickmann: ISO-27001-Zertifikat anfordern bis 05. März 2026.</w:t>
      </w:r>
    </w:p>
    <w:p>
      <w:pPr>
        <w:spacing w:after="100"/>
      </w:pPr>
      <w:r>
        <w:rPr>
          <w:sz w:val="20"/>
          <w:szCs w:val="20"/>
        </w:rPr>
        <w:t xml:space="preserve">C. GeschGehG-Maßnahmenpaket intern: Mitarbeiter-NDAs, DLP, aktualisierte Geheimhaltungsrichtlinie bis Ende März 2026.</w:t>
      </w:r>
    </w:p>
    <w:p>
      <w:pPr>
        <w:spacing w:after="300"/>
      </w:pPr>
      <w:r>
        <w:rPr>
          <w:sz w:val="20"/>
          <w:szCs w:val="20"/>
        </w:rPr>
        <w:t xml:space="preserve">D. Cybertrading-Risiko Eickmann Trading DMCC: IT-Security-Bericht ausstehend; bis dahin kein Transfer kritischer CAD-Daten.</w:t>
      </w:r>
    </w:p>
    <w:p>
      <w:pPr>
        <w:pStyle w:val="Heading2"/>
        <w:spacing w:after="150"/>
      </w:pPr>
      <w:r>
        <w:rPr>
          <w:b/>
          <w:bCs/>
          <w:sz w:val="24"/>
          <w:szCs w:val="24"/>
        </w:rPr>
        <w:t xml:space="preserve">4. Beschlussempfehlung</w:t>
      </w:r>
    </w:p>
    <w:p>
      <w:pPr>
        <w:spacing w:after="400"/>
      </w:pPr>
      <w:r>
        <w:rPr>
          <w:sz w:val="20"/>
          <w:szCs w:val="20"/>
        </w:rPr>
        <w:t xml:space="preserve">Der Vorstand wird gebeten, das NDA v7 formal zu genehmigen und das GeschGehG-Maßnahmenpaket (Aktenstück 16) als verbindliche Q1/Q2-2026-Maßnahme zu beschließen.</w:t>
      </w:r>
    </w:p>
    <w:p>
      <w:r>
        <w:rPr>
          <w:i/>
          <w:iCs/>
          <w:color w:val="7A7974"/>
          <w:sz w:val="18"/>
          <w:szCs w:val="18"/>
        </w:rPr>
        <w:t xml:space="preserve">RA Dr. Mark Roosendaal | Schwingenstein und Partner | Ballindamm 17, Hamburg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Vorstandsvorlage NDA Windsysteme</dc:title>
  <dc:creator>RA Dr. Mark Roosendaal</dc:creator>
  <cp:lastModifiedBy>Un-named</cp:lastModifiedBy>
  <cp:revision>1</cp:revision>
  <dcterms:created xsi:type="dcterms:W3CDTF">2026-05-30T20:14:00.994Z</dcterms:created>
  <dcterms:modified xsi:type="dcterms:W3CDTF">2026-05-30T20:14:00.994Z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