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0"/>
        <w:jc w:val="right"/>
      </w:pPr>
      <w:r>
        <w:t xml:space="preserve">Kanzlei Tannengarten Rechtsanwälte BT · AZ: BT-2026-0314/EA</w:t>
      </w:r>
    </w:p>
    <w:p>
      <w:pPr>
        <w:spacing w:after="600"/>
      </w:pPr>
      <w:r>
        <w:t xml:space="preserve">An das Oberverwaltungsgericht Berlin-Brandenburg · Hardenbergstraße 31 · 10623 Berlin</w:t>
      </w:r>
    </w:p>
    <w:p>
      <w:pPr>
        <w:spacing w:after="400"/>
        <w:jc w:val="right"/>
      </w:pPr>
      <w:r>
        <w:t xml:space="preserve">Berlin, 16. April 2026</w:t>
      </w:r>
    </w:p>
    <w:p>
      <w:pPr>
        <w:pStyle w:val="Heading1"/>
        <w:spacing w:after="200" w:before="200"/>
        <w:jc w:val="center"/>
      </w:pPr>
      <w:r>
        <w:rPr>
          <w:b/>
          <w:bCs/>
          <w:sz w:val="28"/>
          <w:szCs w:val="28"/>
        </w:rPr>
        <w:t xml:space="preserve">Eilantrag gem. § 47 Abs. 6 VwGO</w:t>
      </w:r>
    </w:p>
    <w:p>
      <w:pPr>
        <w:spacing w:after="600"/>
        <w:jc w:val="center"/>
      </w:pPr>
      <w:r>
        <w:rPr>
          <w:b/>
          <w:bCs/>
        </w:rPr>
        <w:t xml:space="preserve">Außervollzugsetzung Bebauungsplan XV-43d „Spreepark Friedrichshain"</w:t>
      </w:r>
    </w:p>
    <w:p>
      <w:pPr>
        <w:spacing w:after="200"/>
      </w:pPr>
      <w:r>
        <w:rPr>
          <w:b/>
          <w:bCs/>
        </w:rPr>
        <w:t xml:space="preserve">Antragstellerin: </w:t>
      </w:r>
      <w:r>
        <w:t xml:space="preserve">Bürgerinitiative „Rettet den Spreeuferpark Friedrichshain" e.V. (wie Hauptsache AZ 10 A 1.26)</w:t>
      </w:r>
    </w:p>
    <w:p>
      <w:pPr>
        <w:spacing w:after="600"/>
      </w:pPr>
      <w:r>
        <w:rPr>
          <w:b/>
          <w:bCs/>
        </w:rPr>
        <w:t xml:space="preserve">Antragsgegner: </w:t>
      </w:r>
      <w:r>
        <w:t xml:space="preserve">Land Berlin / Bezirk Friedrichshain-Kreuzberg</w:t>
      </w:r>
    </w:p>
    <w:p>
      <w:pPr>
        <w:pStyle w:val="Heading2"/>
        <w:spacing w:after="200" w:before="200"/>
      </w:pPr>
      <w:r>
        <w:rPr>
          <w:b/>
          <w:bCs/>
          <w:sz w:val="26"/>
          <w:szCs w:val="26"/>
        </w:rPr>
        <w:t xml:space="preserve">Antrag</w:t>
      </w:r>
    </w:p>
    <w:p>
      <w:pPr>
        <w:spacing w:after="400"/>
      </w:pPr>
      <w:r>
        <w:t xml:space="preserve">Den Bebauungsplan XV-43d „Spreepark Friedrichshain" gem. § 47 Abs. 6 VwGO vorläufig außer Vollzug zu setzen, bis über den Normenkontrollantrag (AZ 10 A 1.26) rechtskräftig entschieden ist.</w:t>
      </w:r>
    </w:p>
    <w:p>
      <w:pPr>
        <w:pStyle w:val="Heading2"/>
        <w:spacing w:after="200" w:before="400"/>
      </w:pPr>
      <w:r>
        <w:rPr>
          <w:b/>
          <w:bCs/>
          <w:sz w:val="26"/>
          <w:szCs w:val="26"/>
        </w:rPr>
        <w:t xml:space="preserve">I. Maßstab § 47 Abs. 6 VwGO</w:t>
      </w:r>
    </w:p>
    <w:p>
      <w:pPr>
        <w:spacing w:after="400"/>
      </w:pPr>
      <w:r>
        <w:t xml:space="preserve">Zur Abwehr schwerer Nachteile oder aus anderen wichtigen Gründen kann das Normenkontrollgericht eine einstweilige Anordnung erlassen. Maßgebend ist eine Folgenabwägung, bei der die Interessen des Antragstellers die öffentlichen Interessen am Vollzug überwiegen müssen (BVerwG, Beschl. v. 16.09.2015 — 4 VR 2.15).</w:t>
      </w:r>
    </w:p>
    <w:p>
      <w:pPr>
        <w:pStyle w:val="Heading2"/>
        <w:spacing w:after="200" w:before="400"/>
      </w:pPr>
      <w:r>
        <w:rPr>
          <w:b/>
          <w:bCs/>
          <w:sz w:val="26"/>
          <w:szCs w:val="26"/>
        </w:rPr>
        <w:t xml:space="preserve">II. Schwere Nachteile</w:t>
      </w:r>
    </w:p>
    <w:p>
      <w:pPr>
        <w:spacing w:after="200"/>
      </w:pPr>
      <w:r>
        <w:rPr>
          <w:b/>
          <w:bCs/>
        </w:rPr>
        <w:t xml:space="preserve">1. Irreversible Zerstörung Eidechsenhabitat:</w:t>
      </w:r>
      <w:r>
        <w:t xml:space="preserve"> Baufeldräumung würde Habitat für 51 Individuen Zauneidechse (FFH-Anhang IV) vor Funktionsfähigkeit der CEF-Maßnahme vernichten. Dieser Schaden ist nicht ausgleichbar.</w:t>
      </w:r>
    </w:p>
    <w:p>
      <w:pPr>
        <w:spacing w:after="400"/>
      </w:pPr>
      <w:r>
        <w:rPr>
          <w:b/>
          <w:bCs/>
        </w:rPr>
        <w:t xml:space="preserve">2. Unwiderruflicher Verlust Kaltluftschneise:</w:t>
      </w:r>
      <w:r>
        <w:t xml:space="preserve"> Bebauung unterbricht dauerhaft die Kaltluftproduktionsfunktion des Plangebiets (Klimaatlas Berlin 2023); Rückabwicklung nach Obsiegen in der Hauptsache faktisch unmöglich.</w:t>
      </w:r>
    </w:p>
    <w:p>
      <w:pPr>
        <w:pStyle w:val="Heading2"/>
        <w:spacing w:after="200" w:before="400"/>
      </w:pPr>
      <w:r>
        <w:rPr>
          <w:b/>
          <w:bCs/>
          <w:sz w:val="26"/>
          <w:szCs w:val="26"/>
        </w:rPr>
        <w:t xml:space="preserve">III. Folgenabwägung</w:t>
      </w:r>
    </w:p>
    <w:p>
      <w:pPr>
        <w:spacing w:after="400"/>
      </w:pPr>
      <w:r>
        <w:t xml:space="preserve">Folgen bei Vollzug (Verweigerung EA): irreversibler ökologischer Schaden, Verlust klimatischer Funktion, Verlust letzter Spreeufer-Grünfläche. Folgen bei Außervollzugsetzung: wirtschaftliche Verzögerung Investor (ca. 85.000 EUR/Monat Finanzierungskosten), ausgleichbar durch Schadensersatzansprüche gegen Antragsgegner. Die Folgen des Vollzugs überwiegen deutlich.</w:t>
      </w:r>
    </w:p>
    <w:p>
      <w:pPr>
        <w:pStyle w:val="Heading2"/>
        <w:spacing w:after="200" w:before="400"/>
      </w:pPr>
      <w:r>
        <w:rPr>
          <w:b/>
          <w:bCs/>
          <w:sz w:val="26"/>
          <w:szCs w:val="26"/>
        </w:rPr>
        <w:t xml:space="preserve">IV. Summarische Hauptsacheprüfung</w:t>
      </w:r>
    </w:p>
    <w:p>
      <w:pPr>
        <w:spacing w:after="600"/>
      </w:pPr>
      <w:r>
        <w:t xml:space="preserve">Erfolgsaussichten in der Hauptsache sind nach vorläufiger Prüfung überwiegend gut: Artenschutzgutachten methodisch unzureichend; Klimaanalyse vollständig fehlend; Lärmschutz-Fensterlüftungsproblematik nicht behandelt. OVG Berlin-Brandenburg neigt in vergleichbaren Fällen zur Außervollzugsetzung bei irreversiblen Ökologieschäden (OVG Berlin-Brandenburg, Beschl. v. 24.02.2011 — 10 S 2.11).</w:t>
      </w:r>
    </w:p>
    <w:p>
      <w:pPr>
        <w:spacing w:after="600"/>
      </w:pPr>
      <w:r>
        <w:t xml:space="preserve">Quellen: dejure.org (§ 47 VwGO, § 44 BNatSchG); bundesverwaltungsgericht.de; openjur.de</w:t>
      </w:r>
    </w:p>
    <w:p>
      <w:pPr>
        <w:spacing w:after="0" w:before="600"/>
      </w:pPr>
      <w:r>
        <w:rPr>
          <w:b/>
          <w:bCs/>
        </w:rPr>
        <w:t xml:space="preserve">RAin Dr. Friederike Pohl-Krauss</w:t>
      </w:r>
    </w:p>
    <w:p>
      <w:r>
        <w:t xml:space="preserve">Kanzlei Tannengarten Rechtsanwälte BT, Berlin · 16. April 2026</w:t>
      </w:r>
    </w:p>
    <w:sectPr>
      <w:pgSz w:w="11906" w:h="16838" w:orient="portrait"/>
      <w:pgMar w:top="1440" w:right="1440" w:bottom="1440" w:left="18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2026-05-30T20:18:44.077Z</dcterms:created>
  <dcterms:modified xsi:type="dcterms:W3CDTF">2026-05-30T20:18:44.077Z</dcterms:modified>
</cp:coreProperties>
</file>

<file path=docProps/custom.xml><?xml version="1.0" encoding="utf-8"?>
<Properties xmlns="http://schemas.openxmlformats.org/officeDocument/2006/custom-properties" xmlns:vt="http://schemas.openxmlformats.org/officeDocument/2006/docPropsVTypes"/>
</file>