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/>
        <w:jc w:val="right"/>
      </w:pPr>
      <w:r>
        <w:t xml:space="preserve">Kanzlei Tannengarten Rechtsanwälte BT · AZ: BT-2026-0314</w:t>
      </w:r>
    </w:p>
    <w:p>
      <w:pPr>
        <w:spacing w:after="200"/>
      </w:pPr>
      <w:r>
        <w:t xml:space="preserve">An das Oberverwaltungsgericht Berlin-Brandenburg</w:t>
      </w:r>
    </w:p>
    <w:p>
      <w:pPr>
        <w:spacing w:after="600"/>
      </w:pPr>
      <w:r>
        <w:t xml:space="preserve">OVG AZ: 10 A 1.26</w:t>
      </w:r>
    </w:p>
    <w:p>
      <w:pPr>
        <w:spacing w:after="400"/>
        <w:jc w:val="right"/>
      </w:pPr>
      <w:r>
        <w:t xml:space="preserve">Berlin, 20. Juni 2026</w:t>
      </w:r>
    </w:p>
    <w:p>
      <w:pPr>
        <w:pStyle w:val="Heading1"/>
        <w:spacing w:after="200" w:before="200"/>
        <w:jc w:val="center"/>
      </w:pPr>
      <w:r>
        <w:rPr>
          <w:b/>
          <w:bCs/>
          <w:sz w:val="28"/>
          <w:szCs w:val="28"/>
        </w:rPr>
        <w:t xml:space="preserve">Replik der Antragstellerin</w:t>
      </w:r>
    </w:p>
    <w:p>
      <w:pPr>
        <w:spacing w:after="600"/>
        <w:jc w:val="center"/>
      </w:pPr>
      <w:r>
        <w:rPr>
          <w:b/>
          <w:bCs/>
        </w:rPr>
        <w:t xml:space="preserve">auf die Erwiderung des Antragsgegners vom 30. Mai 2026</w:t>
      </w:r>
    </w:p>
    <w:p>
      <w:pPr>
        <w:pStyle w:val="Heading2"/>
        <w:spacing w:after="200" w:before="200"/>
      </w:pPr>
      <w:r>
        <w:rPr>
          <w:b/>
          <w:bCs/>
          <w:sz w:val="26"/>
          <w:szCs w:val="26"/>
        </w:rPr>
        <w:t xml:space="preserve">I. Zum Klimaanpassungsbelang</w:t>
      </w:r>
    </w:p>
    <w:p>
      <w:pPr>
        <w:spacing w:after="300"/>
      </w:pPr>
      <w:r>
        <w:t xml:space="preserve">Der Antragsgegner behauptet, der Klimaatlas Berlin sei ein „informelles Planungsinstrument ohne normative Verbindlichkeit". Dies verkennt das Ermittlungsgebot des § 2 Abs. 3 BauGB. Abwägungserheblichkeit setzt keine rechtsverbindliche Norm voraus, sondern lediglich erkennbare Betroffenheit (BVerwG, Urt. v. 09.04.2008 — 4 CN 1.07). Die ausdrückliche Darstellung im Klimaatlas macht die Kaltluftfunktion erkennbar; eine Nichtbefassung ist Abwägungsausfall.</w:t>
      </w:r>
    </w:p>
    <w:p>
      <w:pPr>
        <w:spacing w:after="400"/>
      </w:pPr>
      <w:r>
        <w:t xml:space="preserve">Dachbegrünung auf 26 m Höhe produziert keine bodennahen Kaltluftströmungen. Dies ist fachlich unstreitig (PIK-Gutachten Dr. Wendland-Schreier, Anlage 6; Klimaatlas Berlin 2023, S. 14–17). Das vom Antragsgegner zitierte Urteil BVerwG, Beschl. v. 14.03.2019 — 4 BN 30.18 ist der Antragstellerin nicht bekannt; sie bestreitet dessen Existenz und bittet um Vorlage des vollständigen Texts.</w:t>
      </w:r>
    </w:p>
    <w:p>
      <w:pPr>
        <w:pStyle w:val="Heading2"/>
        <w:spacing w:after="200" w:before="400"/>
      </w:pPr>
      <w:r>
        <w:rPr>
          <w:b/>
          <w:bCs/>
          <w:sz w:val="26"/>
          <w:szCs w:val="26"/>
        </w:rPr>
        <w:t xml:space="preserve">II. Zum Artenschutzkomplex</w:t>
      </w:r>
    </w:p>
    <w:p>
      <w:pPr>
        <w:spacing w:after="400"/>
      </w:pPr>
      <w:r>
        <w:t xml:space="preserve">Das BfN-Skript 329 ist in Berlin als verbindlicher Methodenstandard anerkannt (Hinweisblatt SenStadtUm 2022). 2 statt mind. 4 Begehungen sind kein Ermessensspielraum, sondern ein dokumentierter methodischer Fehler. Das Gegengutachten (51 Individuen) bestätigt die Unterschätzung. Die CEF-Maßnahme „vor Baubeginn" genügt nicht: BVerwG (9 A 12.10) verlangt vollständige Funktionsfähigkeit vor dem ersten Eingriff in Fortpflanzungsstätten — nicht erst vor dem Hochbau.</w:t>
      </w:r>
    </w:p>
    <w:p>
      <w:pPr>
        <w:pStyle w:val="Heading2"/>
        <w:spacing w:after="200" w:before="400"/>
      </w:pPr>
      <w:r>
        <w:rPr>
          <w:b/>
          <w:bCs/>
          <w:sz w:val="26"/>
          <w:szCs w:val="26"/>
        </w:rPr>
        <w:t xml:space="preserve">III. Zum Lärmschutz</w:t>
      </w:r>
    </w:p>
    <w:p>
      <w:pPr>
        <w:spacing w:after="400"/>
      </w:pPr>
      <w:r>
        <w:t xml:space="preserve">Schall 03 (2014) gilt nach § 4 dieser Richtlinie auch für die Beurteilung von Immissionen bei Wohnbauvorhaben in Lärmzonen bestehender Eisenbahnstrecken. Prognosezuschlag: Gemessener Überschuss 2,4 dB(A) (Anlage 8). BVerwG 4 CN 2.06 verlangt Behandlung der Fensterlüftungsproblematik in der Abwägung — nicht nur im Gutachten. Ein Lüftungskonzept im B-Plan oder städtebaulichen Vertrag fehlt vollständig.</w:t>
      </w:r>
    </w:p>
    <w:p>
      <w:pPr>
        <w:pStyle w:val="Heading2"/>
        <w:spacing w:after="200" w:before="400"/>
      </w:pPr>
      <w:r>
        <w:rPr>
          <w:b/>
          <w:bCs/>
          <w:sz w:val="26"/>
          <w:szCs w:val="26"/>
        </w:rPr>
        <w:t xml:space="preserve">IV. Ergänzende Beweisangebote</w:t>
      </w:r>
    </w:p>
    <w:p>
      <w:pPr>
        <w:spacing w:after="100"/>
      </w:pPr>
      <w:r>
        <w:t xml:space="preserve">Anlage 6: PIK-Gutachten Dr. Wendland-Schreier (10.06.2026)</w:t>
      </w:r>
    </w:p>
    <w:p>
      <w:pPr>
        <w:spacing w:after="100"/>
      </w:pPr>
      <w:r>
        <w:t xml:space="preserve">Anlage 7: Ergänzendes BUND-Gutachten Mai 2026 (51 Individuen)</w:t>
      </w:r>
    </w:p>
    <w:p>
      <w:pPr>
        <w:spacing w:after="400"/>
      </w:pPr>
      <w:r>
        <w:t xml:space="preserve">Anlage 8: Schallmessprotokoll Schalltech GmbH</w:t>
      </w:r>
    </w:p>
    <w:p>
      <w:pPr>
        <w:spacing w:after="600"/>
      </w:pPr>
      <w:r>
        <w:t xml:space="preserve">Quellen: dejure.org (§ 2 BauGB, § 47 VwGO, § 44 BNatSchG); bundesverwaltungsgericht.de; openjur.de</w:t>
      </w:r>
    </w:p>
    <w:p>
      <w:pPr>
        <w:spacing w:after="0" w:before="600"/>
      </w:pPr>
      <w:r>
        <w:rPr>
          <w:b/>
          <w:bCs/>
        </w:rPr>
        <w:t xml:space="preserve">RAin Dr. Friederike Pohl-Krauss</w:t>
      </w:r>
    </w:p>
    <w:p>
      <w:r>
        <w:t xml:space="preserve">Kanzlei Tannengarten Rechtsanwälte BT, Berlin · 20. Juni 2026</w:t>
      </w:r>
    </w:p>
    <w:sectPr>
      <w:pgSz w:w="11906" w:h="16838" w:orient="portrait"/>
      <w:pgMar w:top="1440" w:right="1440" w:bottom="1440" w:left="18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2026-05-30T20:18:44.099Z</dcterms:created>
  <dcterms:modified xsi:type="dcterms:W3CDTF">2026-05-30T20:18:44.099Z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