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00" w:before="200"/>
      </w:pPr>
      <w:r>
        <w:t xml:space="preserve">Landgericht Kleve — Zivilkammer 6</w:t>
      </w:r>
    </w:p>
    <w:p>
      <w:pPr>
        <w:pStyle w:val="Heading1"/>
        <w:spacing w:after="100" w:before="200"/>
      </w:pPr>
      <w:r>
        <w:t xml:space="preserve">Klageerwiderung</w:t>
      </w:r>
    </w:p>
    <w:p>
      <w:pPr>
        <w:spacing w:after="80" w:before="100"/>
      </w:pPr>
      <w:r>
        <w:rPr>
          <w:rFonts w:ascii="Calibri" w:cs="Calibri" w:eastAsia="Calibri" w:hAnsi="Calibri"/>
          <w:sz w:val="24"/>
          <w:szCs w:val="24"/>
        </w:rPr>
        <w:t xml:space="preserve">In dem Rechtsstreit</w:t>
      </w:r>
    </w:p>
    <w:p>
      <w:pPr>
        <w:spacing w:after="80" w:before="100"/>
      </w:pPr>
      <w:r>
        <w:rPr>
          <w:rFonts w:ascii="Calibri" w:cs="Calibri" w:eastAsia="Calibri" w:hAnsi="Calibri"/>
          <w:sz w:val="24"/>
          <w:szCs w:val="24"/>
        </w:rPr>
        <w:t xml:space="preserve">Klaus-Peter Bremm, Hauptstraße 122, 47665 Sonsbeck</w:t>
      </w:r>
    </w:p>
    <w:p>
      <w:pPr>
        <w:spacing w:after="80" w:before="100"/>
      </w:pPr>
      <w:r>
        <w:rPr>
          <w:rFonts w:ascii="Calibri" w:cs="Calibri" w:eastAsia="Calibri" w:hAnsi="Calibri"/>
          <w:b/>
          <w:bCs/>
          <w:sz w:val="24"/>
          <w:szCs w:val="24"/>
        </w:rPr>
        <w:t xml:space="preserve">— Kläger —</w:t>
      </w:r>
    </w:p>
    <w:p>
      <w:pPr>
        <w:spacing w:after="80" w:before="100"/>
      </w:pPr>
      <w:r>
        <w:rPr>
          <w:rFonts w:ascii="Calibri" w:cs="Calibri" w:eastAsia="Calibri" w:hAnsi="Calibri"/>
          <w:sz w:val="24"/>
          <w:szCs w:val="24"/>
        </w:rPr>
        <w:t xml:space="preserve">gegen</w:t>
      </w:r>
    </w:p>
    <w:p>
      <w:pPr>
        <w:spacing w:after="80" w:before="100"/>
      </w:pPr>
      <w:r>
        <w:rPr>
          <w:rFonts w:ascii="Calibri" w:cs="Calibri" w:eastAsia="Calibri" w:hAnsi="Calibri"/>
          <w:sz w:val="24"/>
          <w:szCs w:val="24"/>
        </w:rPr>
        <w:t xml:space="preserve">Hofgemeinschaft Driessen GbR (Hartmut Driessen und Almut Driessen), Labbecker Weg 14, 47665 Sonsbeck-Labbeck</w:t>
      </w:r>
    </w:p>
    <w:p>
      <w:pPr>
        <w:spacing w:after="80" w:before="100"/>
      </w:pPr>
      <w:r>
        <w:rPr>
          <w:rFonts w:ascii="Calibri" w:cs="Calibri" w:eastAsia="Calibri" w:hAnsi="Calibri"/>
          <w:b/>
          <w:bCs/>
          <w:sz w:val="24"/>
          <w:szCs w:val="24"/>
        </w:rPr>
        <w:t xml:space="preserve">— Beklagte —</w:t>
      </w:r>
    </w:p>
    <w:p>
      <w:pPr>
        <w:spacing w:after="80" w:before="100"/>
      </w:pPr>
      <w:r>
        <w:rPr>
          <w:rFonts w:ascii="Calibri" w:cs="Calibri" w:eastAsia="Calibri" w:hAnsi="Calibri"/>
          <w:sz w:val="24"/>
          <w:szCs w:val="24"/>
        </w:rPr>
        <w:t xml:space="preserve">Az. LG Kleve 6 O 188/26</w:t>
      </w:r>
    </w:p>
    <w:p>
      <w:pPr>
        <w:pStyle w:val="Heading2"/>
        <w:spacing w:after="100" w:before="200"/>
      </w:pPr>
      <w:r>
        <w:t xml:space="preserve">A. Antrag</w:t>
      </w:r>
    </w:p>
    <w:p>
      <w:pPr>
        <w:spacing w:after="80" w:before="100"/>
      </w:pPr>
      <w:r>
        <w:rPr>
          <w:rFonts w:ascii="Calibri" w:cs="Calibri" w:eastAsia="Calibri" w:hAnsi="Calibri"/>
          <w:sz w:val="24"/>
          <w:szCs w:val="24"/>
        </w:rPr>
        <w:t xml:space="preserve">Die Beklagte beantragt, die Klage abzuweisen. Die Kosten des Rechtsstreits trägt der Kläger.</w:t>
      </w:r>
    </w:p>
    <w:p>
      <w:pPr>
        <w:pStyle w:val="Heading2"/>
        <w:spacing w:after="100" w:before="200"/>
      </w:pPr>
      <w:r>
        <w:t xml:space="preserve">B. Entgegnung</w:t>
      </w:r>
    </w:p>
    <w:p>
      <w:pPr>
        <w:pStyle w:val="Heading3"/>
        <w:spacing w:after="100" w:before="200"/>
      </w:pPr>
      <w:r>
        <w:t xml:space="preserve">I. Kein Kausalzusammenhang zwischen Bt-Spritzung und behaupteten Schäden</w:t>
      </w:r>
    </w:p>
    <w:p>
      <w:pPr>
        <w:spacing w:after="80" w:before="100"/>
      </w:pPr>
      <w:r>
        <w:rPr>
          <w:rFonts w:ascii="Calibri" w:cs="Calibri" w:eastAsia="Calibri" w:hAnsi="Calibri"/>
          <w:sz w:val="24"/>
          <w:szCs w:val="24"/>
        </w:rPr>
        <w:t xml:space="preserve">Der Kläger behauptet, Schäden an seinem Maisbestand (Hybridsorte KWS YUKON, Schlag Hauptstraße-Süd, 8,4 ha) seien durch Abdrift des am 22. Mai 2025 auf den Kartoffelflächen der Beklagten ausgebrachten Pflanzenschutzmittels NOVODOR® FC (Wirkstoff: Bacillus thuringiensis subsp. tenebrionis, Btt) verursacht worden.</w:t>
      </w:r>
    </w:p>
    <w:p>
      <w:pPr>
        <w:spacing w:after="80" w:before="100"/>
      </w:pPr>
      <w:r>
        <w:rPr>
          <w:rFonts w:ascii="Calibri" w:cs="Calibri" w:eastAsia="Calibri" w:hAnsi="Calibri"/>
          <w:sz w:val="24"/>
          <w:szCs w:val="24"/>
        </w:rPr>
        <w:t xml:space="preserve">Dies ist biologisch nicht plausibel: Bacillus thuringiensis subsp. tenebrionis ist ein hochspezifisches Insektizid, das ausschließlich auf Larven von Käfern der Familie Chrysomelidae (insbesondere Kartoffelkäfer, Leptinotarsa decemlineata) wirkt. Eine Phytotoxizität von Btt auf Maispflanzen ist wissenschaftlich nicht belegt; die Europäische Behörde für Lebensmittelsicherheit (EFSA) hat in ihrer Begutachtung von 2012 (EFSA Journal 2012/10/2897) ausdrücklich festgestellt, dass keine negativen Auswirkungen von Btt auf Nicht-Zielorganismen nachgewiesen sind.</w:t>
      </w:r>
    </w:p>
    <w:p>
      <w:pPr>
        <w:spacing w:after="80" w:before="100"/>
      </w:pPr>
      <w:r>
        <w:rPr>
          <w:rFonts w:ascii="Calibri" w:cs="Calibri" w:eastAsia="Calibri" w:hAnsi="Calibri"/>
          <w:sz w:val="24"/>
          <w:szCs w:val="24"/>
        </w:rPr>
        <w:t xml:space="preserve">Der Kläger hat keinen Nachweis erbracht, dass die von ihm beschriebenen Blattschäden tatsächlich durch Btt verursacht wurden. Das vorgelegte Gutachten der LWK-NRW-Beraterin Petra Sommer ist kein gerichtsfähiges Sachverständigengutachten (§ 402 ZPO); es enthält keine Untersuchungen auf Bt-Rückstände und keine Ursachenanalyse alternativer Schadquellen.</w:t>
      </w:r>
    </w:p>
    <w:p>
      <w:pPr>
        <w:pStyle w:val="Heading3"/>
        <w:spacing w:after="100" w:before="200"/>
      </w:pPr>
      <w:r>
        <w:t xml:space="preserve">II. Windverhältnisse am 22. Mai 2025</w:t>
      </w:r>
    </w:p>
    <w:p>
      <w:pPr>
        <w:spacing w:after="80" w:before="100"/>
      </w:pPr>
      <w:r>
        <w:rPr>
          <w:rFonts w:ascii="Calibri" w:cs="Calibri" w:eastAsia="Calibri" w:hAnsi="Calibri"/>
          <w:sz w:val="24"/>
          <w:szCs w:val="24"/>
        </w:rPr>
        <w:t xml:space="preserve">Der Kläger behauptet, am Spritztag habe Windstärke 4 (ca. 6–7 m/s) aus Richtung Südost geherrscht. Dies ist unrichtig. Das betriebliche Windmessprotokoll des Maschinenführers Wojciech Kaminski (erstellt mit einem Kestrel-3000-Anemometer) dokumentiert für den Zeitraum 06:30 bis 10:00 Uhr — dem tatsächlichen Spritzfenster — Windgeschwindigkeiten zwischen 1,2 und 2,8 m/s aus Richtung Nord-Nordwest. Die DWD-Station Wesel (Station-ID 5064) zeigt für diesen Zeitraum vergleichbare Werte. Der Beklagte beantragt die Beiziehung der DWD-Stundenwerte als amtliche Auskunft.</w:t>
      </w:r>
    </w:p>
    <w:p>
      <w:pPr>
        <w:pStyle w:val="Heading3"/>
        <w:spacing w:after="100" w:before="200"/>
      </w:pPr>
      <w:r>
        <w:t xml:space="preserve">III. Einhalten der Zulassungsauflagen</w:t>
      </w:r>
    </w:p>
    <w:p>
      <w:pPr>
        <w:spacing w:after="80" w:before="100"/>
      </w:pPr>
      <w:r>
        <w:rPr>
          <w:rFonts w:ascii="Calibri" w:cs="Calibri" w:eastAsia="Calibri" w:hAnsi="Calibri"/>
          <w:sz w:val="24"/>
          <w:szCs w:val="24"/>
        </w:rPr>
        <w:t xml:space="preserve">Die Mindestabstandsauflage NT 101 (10 m Abstand bei Windgeschwindigkeit über 3 m/s) des NOVODOR® FC-Zulassungsbescheids war am 22. Mai 2025 nicht anwendbar, weil die Windgeschwindigkeit unter 3 m/s lag. Ein Verstoß gegen § 16 PflSchG i.V.m. § 3 PflSchAnwV liegt nicht vor.</w:t>
      </w:r>
    </w:p>
    <w:p>
      <w:pPr>
        <w:pStyle w:val="Heading3"/>
        <w:spacing w:after="100" w:before="200"/>
      </w:pPr>
      <w:r>
        <w:t xml:space="preserve">IV. Alternative Ursachen der Schäden</w:t>
      </w:r>
    </w:p>
    <w:p>
      <w:pPr>
        <w:spacing w:after="80" w:before="100"/>
      </w:pPr>
      <w:r>
        <w:rPr>
          <w:rFonts w:ascii="Calibri" w:cs="Calibri" w:eastAsia="Calibri" w:hAnsi="Calibri"/>
          <w:sz w:val="24"/>
          <w:szCs w:val="24"/>
        </w:rPr>
        <w:t xml:space="preserve">1. Kälteschäden: Am 20. und 21. Mai 2025 wurden an der DWD-Station Wesel Nachttemperaturen von -1,2 °C gemessen. Kälteeinwirkung im Auflaufstadium BBCH 12–13 verursacht typische Blattfärbungen, die die Sachverständigen-Beurteilung durch die LWK-Beraterin fehlerhaft auf Bt-Drift zurückgeführt hat.</w:t>
      </w:r>
    </w:p>
    <w:p>
      <w:pPr>
        <w:spacing w:after="80" w:before="100"/>
      </w:pPr>
      <w:r>
        <w:rPr>
          <w:rFonts w:ascii="Calibri" w:cs="Calibri" w:eastAsia="Calibri" w:hAnsi="Calibri"/>
          <w:sz w:val="24"/>
          <w:szCs w:val="24"/>
        </w:rPr>
        <w:t xml:space="preserve">2. Herbizidschäden: Der Kläger setzt auf seinen Maisflächen Herbizide ein; welche Produkte er am 15.–18. Mai 2025 ausgebracht hat, ist aufzuklären. Der Kläger ist nach § 138 Abs. 1 ZPO verpflichtet, seinen Herbizideinsatz vollständig offenzulegen.</w:t>
      </w:r>
    </w:p>
    <w:p>
      <w:pPr>
        <w:pStyle w:val="Heading3"/>
        <w:spacing w:after="100" w:before="200"/>
      </w:pPr>
      <w:r>
        <w:t xml:space="preserve">V. Schadenshöhe unsubstantiiert</w:t>
      </w:r>
    </w:p>
    <w:p>
      <w:pPr>
        <w:spacing w:after="80" w:before="100"/>
      </w:pPr>
      <w:r>
        <w:rPr>
          <w:rFonts w:ascii="Calibri" w:cs="Calibri" w:eastAsia="Calibri" w:hAnsi="Calibri"/>
          <w:sz w:val="24"/>
          <w:szCs w:val="24"/>
        </w:rPr>
        <w:t xml:space="preserve">Die Schadensschätzung des Agrarbüros Koppermann (30 % Ernteausfall auf 8,4 ha) ist nicht nachprüfbar belegt. Tatsächliche Erntedaten des Klägers für das Jahr 2025 wurden nicht vorgelegt. Der Beklagte beantragt Vorlage der Erntedaten (Wiegescheine, Vermarktungsnachweise) gemäß § 142 ZPO.</w:t>
      </w:r>
    </w:p>
    <w:p>
      <w:pPr>
        <w:pStyle w:val="Heading2"/>
        <w:spacing w:after="100" w:before="200"/>
      </w:pPr>
      <w:r>
        <w:t xml:space="preserve">C. Beweisanträge</w:t>
      </w:r>
    </w:p>
    <w:p>
      <w:pPr>
        <w:spacing w:after="80" w:before="100"/>
      </w:pPr>
      <w:r>
        <w:rPr>
          <w:rFonts w:ascii="Calibri" w:cs="Calibri" w:eastAsia="Calibri" w:hAnsi="Calibri"/>
          <w:sz w:val="24"/>
          <w:szCs w:val="24"/>
        </w:rPr>
        <w:t xml:space="preserve">1. Einholung eines Sachverständigengutachtens zu der Frage, ob Btt-Toxin Maispflanzen schädigen kann (§ 402 ZPO).</w:t>
      </w:r>
    </w:p>
    <w:p>
      <w:pPr>
        <w:spacing w:after="80" w:before="100"/>
      </w:pPr>
      <w:r>
        <w:rPr>
          <w:rFonts w:ascii="Calibri" w:cs="Calibri" w:eastAsia="Calibri" w:hAnsi="Calibri"/>
          <w:sz w:val="24"/>
          <w:szCs w:val="24"/>
        </w:rPr>
        <w:t xml:space="preserve">2. Beiziehung der DWD-Stundenwerte Station Wesel, 22.05.2025, 06:00–11:00 Uhr (amtliche Auskunft).</w:t>
      </w:r>
    </w:p>
    <w:p>
      <w:pPr>
        <w:spacing w:after="80" w:before="100"/>
      </w:pPr>
      <w:r>
        <w:rPr>
          <w:rFonts w:ascii="Calibri" w:cs="Calibri" w:eastAsia="Calibri" w:hAnsi="Calibri"/>
          <w:sz w:val="24"/>
          <w:szCs w:val="24"/>
        </w:rPr>
        <w:t xml:space="preserve">3. Vernehmung von Wojciech Kaminski (Windmessprotokoll) als Zeuge.</w:t>
      </w:r>
    </w:p>
    <w:p>
      <w:pPr>
        <w:spacing w:after="80" w:before="100"/>
      </w:pPr>
      <w:r>
        <w:rPr>
          <w:rFonts w:ascii="Calibri" w:cs="Calibri" w:eastAsia="Calibri" w:hAnsi="Calibri"/>
          <w:sz w:val="24"/>
          <w:szCs w:val="24"/>
        </w:rPr>
        <w:t xml:space="preserve">4. Vorlage der Herbizid-Ausbringungsprotokolle des Klägers (§ 142 ZPO).</w:t>
      </w:r>
    </w:p>
    <w:p>
      <w:pPr>
        <w:pStyle w:val="Heading2"/>
        <w:spacing w:after="100" w:before="200"/>
      </w:pPr>
      <w:r>
        <w:t xml:space="preserve">D. Anlagen</w:t>
      </w:r>
    </w:p>
    <w:p>
      <w:pPr>
        <w:spacing w:after="80" w:before="100"/>
      </w:pPr>
      <w:r>
        <w:rPr>
          <w:rFonts w:ascii="Calibri" w:cs="Calibri" w:eastAsia="Calibri" w:hAnsi="Calibri"/>
          <w:sz w:val="24"/>
          <w:szCs w:val="24"/>
        </w:rPr>
        <w:t xml:space="preserve">L 1 — Windmessprotokoll Kaminski, 22.05.2025</w:t>
      </w:r>
    </w:p>
    <w:p>
      <w:pPr>
        <w:spacing w:after="80" w:before="100"/>
      </w:pPr>
      <w:r>
        <w:rPr>
          <w:rFonts w:ascii="Calibri" w:cs="Calibri" w:eastAsia="Calibri" w:hAnsi="Calibri"/>
          <w:sz w:val="24"/>
          <w:szCs w:val="24"/>
        </w:rPr>
        <w:t xml:space="preserve">L 2 — Produktdatenblatt NOVODOR® FC (Zulassungsnummer 007534-00/00)</w:t>
      </w:r>
    </w:p>
    <w:p>
      <w:pPr>
        <w:spacing w:after="80" w:before="100"/>
      </w:pPr>
      <w:r>
        <w:rPr>
          <w:rFonts w:ascii="Calibri" w:cs="Calibri" w:eastAsia="Calibri" w:hAnsi="Calibri"/>
          <w:sz w:val="24"/>
          <w:szCs w:val="24"/>
        </w:rPr>
        <w:t xml:space="preserve">L 3 — EFSA Journal 2012/10/2897 (Btt-Bewertung)</w:t>
      </w:r>
    </w:p>
    <w:p>
      <w:pPr>
        <w:spacing w:after="80" w:before="100"/>
      </w:pPr>
      <w:r>
        <w:rPr>
          <w:rFonts w:ascii="Calibri" w:cs="Calibri" w:eastAsia="Calibri" w:hAnsi="Calibri"/>
          <w:sz w:val="24"/>
          <w:szCs w:val="24"/>
        </w:rPr>
        <w:t xml:space="preserve">L 4 — DWD-Temperaturdaten Station Wesel, 20.–22.05.2025</w:t>
      </w:r>
    </w:p>
    <w:p>
      <w:pPr>
        <w:spacing w:after="80" w:before="100"/>
      </w:pPr>
      <w:r>
        <w:rPr>
          <w:rFonts w:ascii="Calibri" w:cs="Calibri" w:eastAsia="Calibri" w:hAnsi="Calibri"/>
          <w:sz w:val="24"/>
          <w:szCs w:val="24"/>
        </w:rPr>
        <w:t xml:space="preserve"/>
      </w:r>
    </w:p>
    <w:p>
      <w:pPr>
        <w:spacing w:after="80" w:before="100"/>
      </w:pPr>
      <w:r>
        <w:rPr>
          <w:rFonts w:ascii="Calibri" w:cs="Calibri" w:eastAsia="Calibri" w:hAnsi="Calibri"/>
          <w:sz w:val="24"/>
          <w:szCs w:val="24"/>
        </w:rPr>
        <w:t xml:space="preserve">Krefeld, 2. April 2026</w:t>
      </w:r>
    </w:p>
    <w:p>
      <w:pPr>
        <w:spacing w:after="80" w:before="100"/>
      </w:pPr>
      <w:r>
        <w:rPr>
          <w:rFonts w:ascii="Calibri" w:cs="Calibri" w:eastAsia="Calibri" w:hAnsi="Calibri"/>
          <w:sz w:val="24"/>
          <w:szCs w:val="24"/>
        </w:rPr>
        <w:t xml:space="preserve"/>
      </w:r>
    </w:p>
    <w:p>
      <w:pPr>
        <w:spacing w:after="80" w:before="100"/>
      </w:pPr>
      <w:r>
        <w:rPr>
          <w:rFonts w:ascii="Calibri" w:cs="Calibri" w:eastAsia="Calibri" w:hAnsi="Calibri"/>
          <w:sz w:val="24"/>
          <w:szCs w:val="24"/>
        </w:rPr>
        <w:t xml:space="preserve">RA Dr. Eberhard Faulhammer</w:t>
      </w:r>
    </w:p>
    <w:p>
      <w:pPr>
        <w:spacing w:after="80" w:before="100"/>
      </w:pPr>
      <w:r>
        <w:rPr>
          <w:rFonts w:ascii="Calibri" w:cs="Calibri" w:eastAsia="Calibri" w:hAnsi="Calibri"/>
          <w:sz w:val="24"/>
          <w:szCs w:val="24"/>
        </w:rPr>
        <w:t xml:space="preserve">(Rechtsanwalt)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Klageerwiderung LG Kleve 6 O 188/26</dc:title>
  <dc:creator>Kanzlei Dr. Faulhammer</dc:creator>
  <dc:description>Klageerwiderung Drift-Schaden Bremm gegen Driessen</dc:description>
  <cp:lastModifiedBy>Un-named</cp:lastModifiedBy>
  <cp:revision>1</cp:revision>
  <dcterms:created xsi:type="dcterms:W3CDTF">2026-05-30T16:47:15.222Z</dcterms:created>
  <dcterms:modified xsi:type="dcterms:W3CDTF">2026-05-30T16:47:15.222Z</dcterms:modified>
</cp:coreProperties>
</file>

<file path=docProps/custom.xml><?xml version="1.0" encoding="utf-8"?>
<Properties xmlns="http://schemas.openxmlformats.org/officeDocument/2006/custom-properties" xmlns:vt="http://schemas.openxmlformats.org/officeDocument/2006/docPropsVTypes"/>
</file>