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right"/>
      </w:pPr>
      <w:r>
        <w:rPr>
          <w:b/>
          <w:bCs/>
          <w:sz w:val="24"/>
          <w:szCs w:val="24"/>
        </w:rPr>
        <w:t xml:space="preserve">Kanzlei Birkenhainer &amp; Consulting</w:t>
      </w:r>
    </w:p>
    <w:p>
      <w:pPr>
        <w:jc w:val="right"/>
      </w:pPr>
      <w:r>
        <w:rPr>
          <w:sz w:val="22"/>
          <w:szCs w:val="22"/>
        </w:rPr>
        <w:t xml:space="preserve">Theatinerstraße 36, 80333 München</w:t>
      </w:r>
    </w:p>
    <w:p>
      <w:pPr>
        <w:spacing w:after="480"/>
        <w:jc w:val="right"/>
      </w:pPr>
      <w:r>
        <w:rPr>
          <w:sz w:val="22"/>
          <w:szCs w:val="22"/>
        </w:rPr>
        <w:t xml:space="preserve">Tel.: +49 89 12 34 56-0 | birkenhainer@ip-kanzlei.de</w:t>
      </w:r>
    </w:p>
    <w:p>
      <w:pPr>
        <w:spacing w:after="80" w:before="80"/>
      </w:pPr>
      <w:r>
        <w:rPr>
          <w:b w:val="false"/>
          <w:bCs w:val="false"/>
          <w:sz w:val="22"/>
          <w:szCs w:val="22"/>
        </w:rPr>
        <w:t xml:space="preserve">Bochstaedt MedSupply OHG</w:t>
      </w:r>
    </w:p>
    <w:p>
      <w:pPr>
        <w:spacing w:after="80" w:before="80"/>
      </w:pPr>
      <w:r>
        <w:rPr>
          <w:b w:val="false"/>
          <w:bCs w:val="false"/>
          <w:sz w:val="22"/>
          <w:szCs w:val="22"/>
        </w:rPr>
        <w:t xml:space="preserve">z.Hd. der Gesellschafter</w:t>
      </w:r>
    </w:p>
    <w:p>
      <w:pPr>
        <w:spacing w:after="80" w:before="80"/>
      </w:pPr>
      <w:r>
        <w:rPr>
          <w:b w:val="false"/>
          <w:bCs w:val="false"/>
          <w:sz w:val="22"/>
          <w:szCs w:val="22"/>
        </w:rPr>
        <w:t xml:space="preserve">Goldschmiedstraße 17</w:t>
      </w:r>
    </w:p>
    <w:p>
      <w:pPr>
        <w:spacing w:after="80" w:before="80"/>
      </w:pPr>
      <w:r>
        <w:rPr>
          <w:b w:val="false"/>
          <w:bCs w:val="false"/>
          <w:sz w:val="22"/>
          <w:szCs w:val="22"/>
        </w:rPr>
        <w:t xml:space="preserve">73430 Aalen</w:t>
      </w:r>
    </w:p>
    <w:p>
      <w:pPr>
        <w:spacing w:after="80" w:before="80"/>
      </w:pPr>
      <w:r>
        <w:rPr>
          <w:b w:val="false"/>
          <w:bCs w:val="false"/>
          <w:sz w:val="22"/>
          <w:szCs w:val="22"/>
        </w:rPr>
        <w:t xml:space="preserve"/>
      </w:r>
    </w:p>
    <w:p>
      <w:pPr>
        <w:spacing w:after="80" w:before="80"/>
      </w:pPr>
      <w:r>
        <w:rPr>
          <w:b w:val="false"/>
          <w:bCs w:val="false"/>
          <w:sz w:val="22"/>
          <w:szCs w:val="22"/>
        </w:rPr>
        <w:t xml:space="preserve">— Per Boten / Einschreiben mit Rückschein —</w:t>
      </w:r>
    </w:p>
    <w:p>
      <w:pPr>
        <w:spacing w:after="80" w:before="80"/>
      </w:pPr>
      <w:r>
        <w:rPr>
          <w:b w:val="false"/>
          <w:bCs w:val="false"/>
          <w:sz w:val="22"/>
          <w:szCs w:val="22"/>
        </w:rPr>
        <w:t xml:space="preserve"/>
      </w:r>
    </w:p>
    <w:p>
      <w:pPr>
        <w:spacing w:after="240"/>
        <w:jc w:val="right"/>
      </w:pPr>
      <w:r>
        <w:rPr>
          <w:sz w:val="22"/>
          <w:szCs w:val="22"/>
        </w:rPr>
        <w:t xml:space="preserve">München, 03. Februar 2026</w:t>
      </w:r>
    </w:p>
    <w:p>
      <w:pPr>
        <w:pStyle w:val="Heading1"/>
        <w:spacing w:after="120" w:before="240"/>
      </w:pPr>
      <w:r>
        <w:t xml:space="preserve">ABMAHNUNG</w:t>
      </w:r>
    </w:p>
    <w:p>
      <w:pPr>
        <w:pStyle w:val="Heading2"/>
        <w:spacing w:after="120" w:before="240"/>
      </w:pPr>
      <w:r>
        <w:t xml:space="preserve">wegen Verletzung der Unionsmarke 018-882-188 "TITANFLEX"</w:t>
      </w:r>
    </w:p>
    <w:p>
      <w:pPr>
        <w:spacing w:after="80" w:before="80"/>
      </w:pPr>
      <w:r>
        <w:rPr>
          <w:b w:val="false"/>
          <w:bCs w:val="false"/>
          <w:sz w:val="22"/>
          <w:szCs w:val="22"/>
        </w:rPr>
        <w:t xml:space="preserve">Unser Zeichen: VM-2026-GR-001/MA</w:t>
      </w:r>
    </w:p>
    <w:p>
      <w:pPr>
        <w:spacing w:after="80" w:before="80"/>
      </w:pPr>
      <w:r>
        <w:rPr>
          <w:b w:val="false"/>
          <w:bCs w:val="false"/>
          <w:sz w:val="22"/>
          <w:szCs w:val="22"/>
        </w:rPr>
        <w:t xml:space="preserve"/>
      </w:r>
    </w:p>
    <w:p>
      <w:pPr>
        <w:spacing w:after="80" w:before="80"/>
      </w:pPr>
      <w:r>
        <w:rPr>
          <w:b w:val="false"/>
          <w:bCs w:val="false"/>
          <w:sz w:val="22"/>
          <w:szCs w:val="22"/>
        </w:rPr>
        <w:t xml:space="preserve">Sehr geehrte Gesellschafter der Bochstaedt MedSupply OHG,</w:t>
      </w:r>
    </w:p>
    <w:p>
      <w:pPr>
        <w:spacing w:after="80" w:before="80"/>
      </w:pPr>
      <w:r>
        <w:rPr>
          <w:b w:val="false"/>
          <w:bCs w:val="false"/>
          <w:sz w:val="22"/>
          <w:szCs w:val="22"/>
        </w:rPr>
        <w:t xml:space="preserve">wir zeigen an, dass wir die Vellbruck Medizintechnik GmbH, Leobener Straße 14, 70569 Stuttgart-Vaihingen, anwaltlich vertreten.</w:t>
      </w:r>
    </w:p>
    <w:p>
      <w:pPr>
        <w:spacing w:after="80" w:before="80"/>
      </w:pPr>
      <w:r>
        <w:rPr>
          <w:b w:val="false"/>
          <w:bCs w:val="false"/>
          <w:sz w:val="22"/>
          <w:szCs w:val="22"/>
        </w:rPr>
        <w:t xml:space="preserve"/>
      </w:r>
    </w:p>
    <w:p>
      <w:pPr>
        <w:pStyle w:val="Heading2"/>
        <w:spacing w:after="120" w:before="240"/>
      </w:pPr>
      <w:r>
        <w:t xml:space="preserve">I. Sachverhalt</w:t>
      </w:r>
    </w:p>
    <w:p>
      <w:pPr>
        <w:spacing w:after="80" w:before="80"/>
      </w:pPr>
      <w:r>
        <w:rPr>
          <w:b w:val="false"/>
          <w:bCs w:val="false"/>
          <w:sz w:val="22"/>
          <w:szCs w:val="22"/>
        </w:rPr>
        <w:t xml:space="preserve">Unsere Mandantin ist Inhaberin der beim Amt der Europäischen Union für geistiges Eigentum (EUIPO) eingetragenen Unionsmarke 018-882-188 "TITANFLEX" (Klasse 10: orthopädische Implantate; eingetragen 12.07.2019). Die Marke ist für alle Mitgliedstaaten der Europäischen Union in Kraft.</w:t>
      </w:r>
    </w:p>
    <w:p>
      <w:pPr>
        <w:spacing w:after="80" w:before="80"/>
      </w:pPr>
      <w:r>
        <w:rPr>
          <w:b w:val="false"/>
          <w:bCs w:val="false"/>
          <w:sz w:val="22"/>
          <w:szCs w:val="22"/>
        </w:rPr>
        <w:t xml:space="preserve">Es ist uns zur Kenntnis gelangt, dass Ihre Gesellschaft das Produkt "TitanFlex Pro" des polnischen Herstellers TitanOrtho Sp. z o.o. (Wroclaw) in Deutschland vertreibt und bewirbt. Die Bezeichnung "TitanFlex Pro" ist mit der Unionsmarke "TITANFLEX" unserer Mandantin in hohem Maße verwechslungsfähig, da das dominierende Element "TitanFlex" identisch ist und der Zusatz "Pro" lediglich ein beschreibendes Qualitätssuffix darstellt, das keine ausreichende Unterscheidung bewirkt.</w:t>
      </w:r>
    </w:p>
    <w:p>
      <w:pPr>
        <w:spacing w:after="80" w:before="80"/>
      </w:pPr>
      <w:r>
        <w:rPr>
          <w:b w:val="false"/>
          <w:bCs w:val="false"/>
          <w:sz w:val="22"/>
          <w:szCs w:val="22"/>
        </w:rPr>
        <w:t xml:space="preserve">Dies ergibt sich im Einzelnen wie folgt:</w:t>
      </w:r>
    </w:p>
    <w:p>
      <w:pPr>
        <w:spacing w:after="80" w:before="80"/>
      </w:pPr>
      <w:r>
        <w:rPr>
          <w:b w:val="false"/>
          <w:bCs w:val="false"/>
          <w:sz w:val="22"/>
          <w:szCs w:val="22"/>
        </w:rPr>
        <w:t xml:space="preserve">1. Warenidentität: Sowohl unsere Mandantin als auch Ihre Gesellschaft vertreiben Hüftimplantat-Schäfte aus Titanlegierung (Klasse 10).</w:t>
      </w:r>
    </w:p>
    <w:p>
      <w:pPr>
        <w:spacing w:after="80" w:before="80"/>
      </w:pPr>
      <w:r>
        <w:rPr>
          <w:b w:val="false"/>
          <w:bCs w:val="false"/>
          <w:sz w:val="22"/>
          <w:szCs w:val="22"/>
        </w:rPr>
        <w:t xml:space="preserve">2. Zeichenähnlichkeit: "TITANFLEX" und "TitanFlex Pro" sind klanglich, schriftbildlich und begrifflich nahezu identisch. Das Element "TitanFlex" ist der prägende Teil beider Zeichen. Das nachgestellte Suffix "Pro" hat rein beschreibenden Charakter und beseitigt die Verwechslungsgefahr nicht (vgl. EuGH C-120/04 — Medion).</w:t>
      </w:r>
    </w:p>
    <w:p>
      <w:pPr>
        <w:spacing w:after="80" w:before="80"/>
      </w:pPr>
      <w:r>
        <w:rPr>
          <w:b w:val="false"/>
          <w:bCs w:val="false"/>
          <w:sz w:val="22"/>
          <w:szCs w:val="22"/>
        </w:rPr>
        <w:t xml:space="preserve">3. Verwechslungsgefahr: Angesichts der Warenidentität und der hochgradigen Zeichenähnlichkeit ist eine Verwechslungsgefahr i.S.d. Art. 9 Abs. 2 lit. b UMV evident.</w:t>
      </w:r>
    </w:p>
    <w:p>
      <w:pPr>
        <w:spacing w:after="80" w:before="80"/>
      </w:pPr>
      <w:r>
        <w:rPr>
          <w:b w:val="false"/>
          <w:bCs w:val="false"/>
          <w:sz w:val="22"/>
          <w:szCs w:val="22"/>
        </w:rPr>
        <w:t xml:space="preserve">Durch die Benutzung des Zeichens "TitanFlex Pro" im geschäftlichen Verkehr verletzen Sie schuldhaft die Markenrechte unserer Mandantin gemäß Art. 9 Abs. 2 lit. b der Unionsmarkenverordnung (EU) 2017/1001 i.V.m. § 14 Abs. 2 Nr. 2 MarkenG.</w:t>
      </w:r>
    </w:p>
    <w:p>
      <w:pPr>
        <w:spacing w:after="80" w:before="80"/>
      </w:pPr>
      <w:r>
        <w:rPr>
          <w:b w:val="false"/>
          <w:bCs w:val="false"/>
          <w:sz w:val="22"/>
          <w:szCs w:val="22"/>
        </w:rPr>
        <w:t xml:space="preserve"/>
      </w:r>
    </w:p>
    <w:p>
      <w:pPr>
        <w:pStyle w:val="Heading2"/>
        <w:spacing w:after="120" w:before="240"/>
      </w:pPr>
      <w:r>
        <w:t xml:space="preserve">II. Rechtliche Konsequenzen</w:t>
      </w:r>
    </w:p>
    <w:p>
      <w:pPr>
        <w:spacing w:after="80" w:before="80"/>
      </w:pPr>
      <w:r>
        <w:rPr>
          <w:b w:val="false"/>
          <w:bCs w:val="false"/>
          <w:sz w:val="22"/>
          <w:szCs w:val="22"/>
        </w:rPr>
        <w:t xml:space="preserve">Aus der Markenverletzung erwachsen unserer Mandantin folgende Ansprüche:</w:t>
      </w:r>
    </w:p>
    <w:p>
      <w:pPr>
        <w:spacing w:after="80" w:before="80"/>
      </w:pPr>
      <w:r>
        <w:rPr>
          <w:b w:val="false"/>
          <w:bCs w:val="false"/>
          <w:sz w:val="22"/>
          <w:szCs w:val="22"/>
        </w:rPr>
        <w:t xml:space="preserve">• Unterlassungsanspruch (§ 14 Abs. 5 MarkenG)</w:t>
      </w:r>
    </w:p>
    <w:p>
      <w:pPr>
        <w:spacing w:after="80" w:before="80"/>
      </w:pPr>
      <w:r>
        <w:rPr>
          <w:b w:val="false"/>
          <w:bCs w:val="false"/>
          <w:sz w:val="22"/>
          <w:szCs w:val="22"/>
        </w:rPr>
        <w:t xml:space="preserve">• Auskunfts- und Rechnungslegungsanspruch (§ 19 MarkenG)</w:t>
      </w:r>
    </w:p>
    <w:p>
      <w:pPr>
        <w:spacing w:after="80" w:before="80"/>
      </w:pPr>
      <w:r>
        <w:rPr>
          <w:b w:val="false"/>
          <w:bCs w:val="false"/>
          <w:sz w:val="22"/>
          <w:szCs w:val="22"/>
        </w:rPr>
        <w:t xml:space="preserve">• Schadensersatzanspruch (§ 14 Abs. 6 MarkenG)</w:t>
      </w:r>
    </w:p>
    <w:p>
      <w:pPr>
        <w:spacing w:after="80" w:before="80"/>
      </w:pPr>
      <w:r>
        <w:rPr>
          <w:b w:val="false"/>
          <w:bCs w:val="false"/>
          <w:sz w:val="22"/>
          <w:szCs w:val="22"/>
        </w:rPr>
        <w:t xml:space="preserve">• Vernichtungsanspruch (§ 18 MarkenG)</w:t>
      </w:r>
    </w:p>
    <w:p>
      <w:pPr>
        <w:spacing w:after="80" w:before="80"/>
      </w:pPr>
      <w:r>
        <w:rPr>
          <w:b w:val="false"/>
          <w:bCs w:val="false"/>
          <w:sz w:val="22"/>
          <w:szCs w:val="22"/>
        </w:rPr>
        <w:t xml:space="preserve">• Anspruch auf Erstattung der Abmahnkosten</w:t>
      </w:r>
    </w:p>
    <w:p>
      <w:pPr>
        <w:spacing w:after="80" w:before="80"/>
      </w:pPr>
      <w:r>
        <w:rPr>
          <w:b w:val="false"/>
          <w:bCs w:val="false"/>
          <w:sz w:val="22"/>
          <w:szCs w:val="22"/>
        </w:rPr>
        <w:t xml:space="preserve"/>
      </w:r>
    </w:p>
    <w:p>
      <w:pPr>
        <w:pStyle w:val="Heading2"/>
        <w:spacing w:after="120" w:before="240"/>
      </w:pPr>
      <w:r>
        <w:t xml:space="preserve">III. Aufforderung</w:t>
      </w:r>
    </w:p>
    <w:p>
      <w:pPr>
        <w:spacing w:after="80" w:before="80"/>
      </w:pPr>
      <w:r>
        <w:rPr>
          <w:b w:val="false"/>
          <w:bCs w:val="false"/>
          <w:sz w:val="22"/>
          <w:szCs w:val="22"/>
        </w:rPr>
        <w:t xml:space="preserve">Wir fordern Sie hiermit auf, bis spätestens 17. Februar 2026 (Eingang bei unserer Kanzlei):</w:t>
      </w:r>
    </w:p>
    <w:p>
      <w:pPr>
        <w:spacing w:after="80" w:before="80"/>
      </w:pPr>
      <w:r>
        <w:rPr>
          <w:b w:val="false"/>
          <w:bCs w:val="false"/>
          <w:sz w:val="22"/>
          <w:szCs w:val="22"/>
        </w:rPr>
        <w:t xml:space="preserve">1. die beigefügte strafbewehrte Unterlassungs- und Verpflichtungserklärung zu unterzeichnen und an uns zurückzusenden;</w:t>
      </w:r>
    </w:p>
    <w:p>
      <w:pPr>
        <w:spacing w:after="80" w:before="80"/>
      </w:pPr>
      <w:r>
        <w:rPr>
          <w:b w:val="false"/>
          <w:bCs w:val="false"/>
          <w:sz w:val="22"/>
          <w:szCs w:val="22"/>
        </w:rPr>
        <w:t xml:space="preserve">2. unverzüglich jegliche Werbung und jeden Vertrieb unter der Bezeichnung "TitanFlex Pro" in Deutschland und allen anderen EU-Mitgliedstaaten einzustellen;</w:t>
      </w:r>
    </w:p>
    <w:p>
      <w:pPr>
        <w:spacing w:after="80" w:before="80"/>
      </w:pPr>
      <w:r>
        <w:rPr>
          <w:b w:val="false"/>
          <w:bCs w:val="false"/>
          <w:sz w:val="22"/>
          <w:szCs w:val="22"/>
        </w:rPr>
        <w:t xml:space="preserve">3. Auskunft über sämtliche bisherigen Vertriebshandlungen unter der Bezeichnung "TitanFlex Pro" zu erteilen (Abnehmer, Mengen, Umsätze).</w:t>
      </w:r>
    </w:p>
    <w:p>
      <w:pPr>
        <w:spacing w:after="80" w:before="80"/>
      </w:pPr>
      <w:r>
        <w:rPr>
          <w:b w:val="false"/>
          <w:bCs w:val="false"/>
          <w:sz w:val="22"/>
          <w:szCs w:val="22"/>
        </w:rPr>
        <w:t xml:space="preserve"/>
      </w:r>
    </w:p>
    <w:p>
      <w:pPr>
        <w:pStyle w:val="Heading2"/>
        <w:spacing w:after="120" w:before="240"/>
      </w:pPr>
      <w:r>
        <w:t xml:space="preserve">IV. Kosten der Abmahnung</w:t>
      </w:r>
    </w:p>
    <w:p>
      <w:pPr>
        <w:spacing w:after="80" w:before="80"/>
      </w:pPr>
      <w:r>
        <w:rPr>
          <w:b w:val="false"/>
          <w:bCs w:val="false"/>
          <w:sz w:val="22"/>
          <w:szCs w:val="22"/>
        </w:rPr>
        <w:t xml:space="preserve">Streitwert: 500.000 EUR. Gebühren (1,3-fache Geschäftsgebühr, Nr. 2300 VV RVG): 2.840,70 EUR netto zzgl. 19 % MwSt. = 3.380,43 EUR brutto. Wir fordern Sie auf, diesen Betrag bis zum 17. Februar 2026 auf unser Kanzleikonto zu überweisen.</w:t>
      </w:r>
    </w:p>
    <w:p>
      <w:pPr>
        <w:spacing w:after="80" w:before="80"/>
      </w:pPr>
      <w:r>
        <w:rPr>
          <w:b w:val="false"/>
          <w:bCs w:val="false"/>
          <w:sz w:val="22"/>
          <w:szCs w:val="22"/>
        </w:rPr>
        <w:t xml:space="preserve"/>
      </w:r>
    </w:p>
    <w:p>
      <w:pPr>
        <w:spacing w:after="80" w:before="80"/>
      </w:pPr>
      <w:r>
        <w:rPr>
          <w:b w:val="false"/>
          <w:bCs w:val="false"/>
          <w:sz w:val="22"/>
          <w:szCs w:val="22"/>
        </w:rPr>
        <w:t xml:space="preserve">Wir weisen darauf hin, dass wir im Falle Ihres fruchtlosen Fristablaufs unverzüglich eine einstweilige Verfügung vor dem Landgericht Stuttgart erwirken werden, ohne weitere Ankündigung.</w:t>
      </w:r>
    </w:p>
    <w:p>
      <w:pPr>
        <w:spacing w:after="80" w:before="80"/>
      </w:pPr>
      <w:r>
        <w:rPr>
          <w:b w:val="false"/>
          <w:bCs w:val="false"/>
          <w:sz w:val="22"/>
          <w:szCs w:val="22"/>
        </w:rPr>
        <w:t xml:space="preserve"/>
      </w:r>
    </w:p>
    <w:p>
      <w:pPr>
        <w:spacing w:after="80" w:before="80"/>
      </w:pPr>
      <w:r>
        <w:rPr>
          <w:b w:val="false"/>
          <w:bCs w:val="false"/>
          <w:sz w:val="22"/>
          <w:szCs w:val="22"/>
        </w:rPr>
        <w:t xml:space="preserve">Mit freundlichen Grüßen</w:t>
      </w:r>
    </w:p>
    <w:p>
      <w:pPr>
        <w:spacing w:after="80" w:before="80"/>
      </w:pPr>
      <w:r>
        <w:rPr>
          <w:b w:val="false"/>
          <w:bCs w:val="false"/>
          <w:sz w:val="22"/>
          <w:szCs w:val="22"/>
        </w:rPr>
        <w:t xml:space="preserve"/>
      </w:r>
    </w:p>
    <w:p>
      <w:pPr>
        <w:spacing w:after="80" w:before="80"/>
      </w:pPr>
      <w:r>
        <w:rPr>
          <w:b w:val="false"/>
          <w:bCs w:val="false"/>
          <w:sz w:val="22"/>
          <w:szCs w:val="22"/>
        </w:rPr>
        <w:t xml:space="preserve">Dr. Marie-Henriette Birkenhainer</w:t>
      </w:r>
    </w:p>
    <w:p>
      <w:pPr>
        <w:spacing w:after="80" w:before="80"/>
      </w:pPr>
      <w:r>
        <w:rPr>
          <w:b w:val="false"/>
          <w:bCs w:val="false"/>
          <w:sz w:val="22"/>
          <w:szCs w:val="22"/>
        </w:rPr>
        <w:t xml:space="preserve">Rechtsanwältin (FA gewerblicher Rechtsschutz)</w:t>
      </w:r>
    </w:p>
    <w:p>
      <w:pPr>
        <w:spacing w:after="80" w:before="80"/>
      </w:pPr>
      <w:r>
        <w:rPr>
          <w:b w:val="false"/>
          <w:bCs w:val="false"/>
          <w:sz w:val="22"/>
          <w:szCs w:val="22"/>
        </w:rPr>
        <w:t xml:space="preserve"/>
      </w:r>
    </w:p>
    <w:p>
      <w:pPr>
        <w:spacing w:after="80" w:before="80"/>
      </w:pPr>
      <w:r>
        <w:rPr>
          <w:b w:val="false"/>
          <w:bCs w:val="false"/>
          <w:sz w:val="22"/>
          <w:szCs w:val="22"/>
        </w:rPr>
        <w:t xml:space="preserve">Quellen: Art. 9 UMV 2017/1001 (EUR-Lex: https://eur-lex.europa.eu/legal-content/DE/TXT/?uri=CELEX%3A32017R1001); § 14 MarkenG (dejure.org: https://dejure.org/gesetze/MarkenG/14.html); § 18 MarkenG (dejure.org); § 19 MarkenG (dejure.org); EuGH C-120/04 — Medion (dejure.org).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Abmahnung wegen Markenverletzung TITANFLEX</dc:title>
  <dc:creator>Kanzlei Birkenhainer &amp; Consulting</dc:creator>
  <dc:description>Abmahnschreiben an Bochstaedt MedSupply OHG wegen Verletzung der Unionsmarke TITANFLEX</dc:description>
  <cp:lastModifiedBy>Un-named</cp:lastModifiedBy>
  <cp:revision>1</cp:revision>
  <dcterms:created xsi:type="dcterms:W3CDTF">2026-05-30T19:05:22.709Z</dcterms:created>
  <dcterms:modified xsi:type="dcterms:W3CDTF">2026-05-30T19:05:22.709Z</dcterms:modified>
</cp:coreProperties>
</file>

<file path=docProps/custom.xml><?xml version="1.0" encoding="utf-8"?>
<Properties xmlns="http://schemas.openxmlformats.org/officeDocument/2006/custom-properties" xmlns:vt="http://schemas.openxmlformats.org/officeDocument/2006/docPropsVTypes"/>
</file>