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120" w:before="240"/>
      </w:pPr>
      <w:r>
        <w:t xml:space="preserve">KLAGESCHRIFT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An den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Unified Patent Court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Lokale Kammer Düsseldorf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c/o Landgericht Düsseldorf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Werdener Straße 1, 40227 Düsseldorf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/>
      </w:r>
    </w:p>
    <w:p>
      <w:pPr>
        <w:spacing w:after="80" w:before="80"/>
      </w:pPr>
      <w:r>
        <w:rPr>
          <w:b/>
          <w:bCs/>
          <w:sz w:val="22"/>
          <w:szCs w:val="22"/>
        </w:rPr>
        <w:t xml:space="preserve">Aktenzeichen: ACT_0188/2026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/>
      </w:r>
    </w:p>
    <w:p>
      <w:pPr>
        <w:pStyle w:val="Heading2"/>
        <w:spacing w:after="120" w:before="240"/>
      </w:pPr>
      <w:r>
        <w:t xml:space="preserve">Klägerin: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Vellbruck Medizintechnik GmbH, Leobener Straße 14, 70569 Stuttgart-Vaihingen, vertreten durch die Geschäftsführer Dr. Philipp Sonnleitner und Dr. Astrid Kempken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/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— Prozessbevollmächtigte: RA Dr. Marie-Henriette Birkenhainer (UPC-Zulassung), Kanzlei Birkenhainer &amp; Consulting, Theatinerstraße 36, 80333 München; koord. RA Dr. Gerd Rademakers (Rademakers IP, Königsallee 14, 40212 Düsseldorf) —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/>
      </w:r>
    </w:p>
    <w:p>
      <w:pPr>
        <w:pStyle w:val="Heading2"/>
        <w:spacing w:after="120" w:before="240"/>
      </w:pPr>
      <w:r>
        <w:t xml:space="preserve">Beklagte zu 1: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TitanOrtho Sp. z o.o., ul. Robotnicza 44, 53-608 Wroclaw, Polen, vertreten durch den Geschäftsführer Marcin Pawlowski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/>
      </w:r>
    </w:p>
    <w:p>
      <w:pPr>
        <w:pStyle w:val="Heading2"/>
        <w:spacing w:after="120" w:before="240"/>
      </w:pPr>
      <w:r>
        <w:t xml:space="preserve">Beklagte zu 2: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Bochstaedt MedSupply OHG, Goldschmiedstraße 17, 73430 Aalen, vertreten durch die Gesellschafter Gerhard Bochstaedt und Rainer Bochstaedt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/>
      </w:r>
    </w:p>
    <w:p>
      <w:pPr>
        <w:pStyle w:val="Heading2"/>
        <w:spacing w:after="120" w:before="240"/>
      </w:pPr>
      <w:r>
        <w:t xml:space="preserve">I. KLAGEANTRÄGE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1. Den Beklagten wird es — unter Androhung eines Ordnungsgeldes von bis zu 250.000 EUR je Zuwiderhandlung, ersatzweise Ordnungshaft bis zu 6 Monaten — verboten, Schaftimplantate für Hüftendoprothesen, die alle Merkmale (a) bis (e) des Anspruchs 1 des EP 3 218 922 B1 aufweisen, insbesondere das Produkt "TitanFlex Pro" (CE-Zertifikat Nr. DE/CA08/0044/2024), in Mitgliedstaaten des UPCA herzustellen (Beklagte zu 1), anzubieten, in Verkehr zu bringen, zu gebrauchen oder zu den genannten Zwecken einzuführen oder zu besitzen (Beklagte zu 1 und 2).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2. Die Beklagten werden verurteilt, der Klägerin Auskunft zu erteilen und Rechnung zu legen über alle Verletzungshandlungen gemäß § 140b PatG, insbesondere Herstellungsmengen, Lieferanten, Abnehmer, Einstandspreise, Verkaufspreise und Gewinne hinsichtlich des Produkts "TitanFlex Pro" seit dem 18. Oktober 2024.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3. Die Beklagte zu 2 wird verurteilt, alle in ihrem Besitz oder Eigentum befindlichen Exemplare des Produkts "TitanFlex Pro" zu vernichten (§ 140a Abs. 1 PatG).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4. Die Beklagte zu 2 wird verurteilt, die an Dritte (Kliniken, Händler) bereits ausgelieferten, aber noch nicht implantierten Exemplare des Produkts "TitanFlex Pro" zurückzurufen (§ 140a Abs. 3 PatG).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5. Die Beklagten werden gesamtschuldnerisch verurteilt, der Klägerin den durch die Verletzungshandlungen entstandenen und noch entstehenden Schaden zu ersetzen; die Schadensberechnung bleibt einem nachfolgenden Betragsverfahren vorbehalten.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6. Die Kosten des Verfahrens tragen die Beklagten.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/>
      </w:r>
    </w:p>
    <w:p>
      <w:pPr>
        <w:pStyle w:val="Heading2"/>
        <w:spacing w:after="120" w:before="240"/>
      </w:pPr>
      <w:r>
        <w:t xml:space="preserve">II. SACHVERHALT</w:t>
      </w:r>
    </w:p>
    <w:p>
      <w:pPr>
        <w:pStyle w:val="Heading3"/>
        <w:spacing w:after="120" w:before="240"/>
      </w:pPr>
      <w:r>
        <w:t xml:space="preserve">A. Patentrecht und Verletzungsgegenstand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Die Klägerin ist Inhaberin des europäischen Patents EP 3 218 922 B1 ("Schaftimplantat für eine Hüftendoprothese"), erteilt am 22. März 2018, in Kraft in elf europäischen Staaten, darunter Deutschland, Polen, Frankreich und weiteren UPCA-Mitgliedstaaten. Das Patent betrifft einen neuartigen Hüftschaft aus Titanlegierung mit einer porösen proximalen Oberfläche (Porosität 65–75 %; mittlere Porengröße 400–600 µm), hergestellt durch selektives Lasersintern, sowie mindestens zwei distalen Stützrippen mit einem Neigungswinkel von 8°–15° zur Längsachse des Schaftkörpers.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Die Beklagte zu 1 stellt seit Herbst 2024 das Produkt "TitanFlex Pro" her und liefert es an die Beklagte zu 2 (Bochstaedt MedSupply OHG) zur Einführung in den deutschen und weiteren europäischen Märkten. Der erste dokumentierte Vertriebsakt in Deutschland datiert vom 18. Oktober 2024.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Auf der Grundlage einer technischen Analyse (Claim-Chart, Anlage K-3; µ-CT-Messung Institut für Materialprüfung Dortmund, Anlage K-4; Sachverständigengutachten Dr. Peter Morbach, Anlage K-5) steht fest, dass TitanFlex Pro alle fünf Merkmale des Anspruchs 1 des EP 3 218 922 B1 dem Wortlaut nach verwirklicht: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shd w:fill="D4D1CA"/>
          </w:tcPr>
          <w:p>
            <w:r>
              <w:rPr>
                <w:b/>
                <w:bCs/>
                <w:sz w:val="20"/>
                <w:szCs w:val="20"/>
              </w:rPr>
              <w:t xml:space="preserve">Merkmal</w:t>
            </w:r>
          </w:p>
        </w:tc>
        <w:tc>
          <w:tcPr>
            <w:shd w:fill="D4D1CA"/>
          </w:tcPr>
          <w:p>
            <w:r>
              <w:rPr>
                <w:b/>
                <w:bCs/>
                <w:sz w:val="20"/>
                <w:szCs w:val="20"/>
              </w:rPr>
              <w:t xml:space="preserve">EP 3 218 922 B1</w:t>
            </w:r>
          </w:p>
        </w:tc>
        <w:tc>
          <w:tcPr>
            <w:shd w:fill="D4D1CA"/>
          </w:tcPr>
          <w:p>
            <w:r>
              <w:rPr>
                <w:b/>
                <w:bCs/>
                <w:sz w:val="20"/>
                <w:szCs w:val="20"/>
              </w:rPr>
              <w:t xml:space="preserve">TitanFlex Pro (gemessen)</w:t>
            </w:r>
          </w:p>
        </w:tc>
        <w:tc>
          <w:tcPr>
            <w:shd w:fill="D4D1CA"/>
          </w:tcPr>
          <w:p>
            <w:r>
              <w:rPr>
                <w:b/>
                <w:bCs/>
                <w:sz w:val="20"/>
                <w:szCs w:val="20"/>
              </w:rPr>
              <w:t xml:space="preserve">Verletzung</w:t>
            </w:r>
          </w:p>
        </w:tc>
      </w:tr>
      <w:tr>
        <w:tc>
          <w:p>
            <w:r>
              <w:rPr>
                <w:sz w:val="20"/>
                <w:szCs w:val="20"/>
              </w:rPr>
              <w:t xml:space="preserve">(a)</w:t>
            </w:r>
          </w:p>
        </w:tc>
        <w:tc>
          <w:p>
            <w:r>
              <w:rPr>
                <w:sz w:val="20"/>
                <w:szCs w:val="20"/>
              </w:rPr>
              <w:t xml:space="preserve">Titanlegierung, prox./distal</w:t>
            </w:r>
          </w:p>
        </w:tc>
        <w:tc>
          <w:p>
            <w:r>
              <w:rPr>
                <w:sz w:val="20"/>
                <w:szCs w:val="20"/>
              </w:rPr>
              <w:t xml:space="preserve">Ti-6Al-4V ELI, Schaftlänge 120/145 mm</w:t>
            </w:r>
          </w:p>
        </w:tc>
        <w:tc>
          <w:p>
            <w:r>
              <w:rPr>
                <w:sz w:val="20"/>
                <w:szCs w:val="20"/>
              </w:rPr>
              <w:t xml:space="preserve">Ja</w:t>
            </w:r>
          </w:p>
        </w:tc>
      </w:tr>
      <w:tr>
        <w:tc>
          <w:p>
            <w:r>
              <w:rPr>
                <w:sz w:val="20"/>
                <w:szCs w:val="20"/>
              </w:rPr>
              <w:t xml:space="preserve">(b)</w:t>
            </w:r>
          </w:p>
        </w:tc>
        <w:tc>
          <w:p>
            <w:r>
              <w:rPr>
                <w:sz w:val="20"/>
                <w:szCs w:val="20"/>
              </w:rPr>
              <w:t xml:space="preserve">Porosität 65–75 %</w:t>
            </w:r>
          </w:p>
        </w:tc>
        <w:tc>
          <w:p>
            <w:r>
              <w:rPr>
                <w:sz w:val="20"/>
                <w:szCs w:val="20"/>
              </w:rPr>
              <w:t xml:space="preserve">68,4 ± 1,2 %</w:t>
            </w:r>
          </w:p>
        </w:tc>
        <w:tc>
          <w:p>
            <w:r>
              <w:rPr>
                <w:sz w:val="20"/>
                <w:szCs w:val="20"/>
              </w:rPr>
              <w:t xml:space="preserve">Ja</w:t>
            </w:r>
          </w:p>
        </w:tc>
      </w:tr>
      <w:tr>
        <w:tc>
          <w:p>
            <w:r>
              <w:rPr>
                <w:sz w:val="20"/>
                <w:szCs w:val="20"/>
              </w:rPr>
              <w:t xml:space="preserve">(c)</w:t>
            </w:r>
          </w:p>
        </w:tc>
        <w:tc>
          <w:p>
            <w:r>
              <w:rPr>
                <w:sz w:val="20"/>
                <w:szCs w:val="20"/>
              </w:rPr>
              <w:t xml:space="preserve">Porengröße 400–600 µm</w:t>
            </w:r>
          </w:p>
        </w:tc>
        <w:tc>
          <w:p>
            <w:r>
              <w:rPr>
                <w:sz w:val="20"/>
                <w:szCs w:val="20"/>
              </w:rPr>
              <w:t xml:space="preserve">487 ± 22 µm</w:t>
            </w:r>
          </w:p>
        </w:tc>
        <w:tc>
          <w:p>
            <w:r>
              <w:rPr>
                <w:sz w:val="20"/>
                <w:szCs w:val="20"/>
              </w:rPr>
              <w:t xml:space="preserve">Ja</w:t>
            </w:r>
          </w:p>
        </w:tc>
      </w:tr>
      <w:tr>
        <w:tc>
          <w:p>
            <w:r>
              <w:rPr>
                <w:sz w:val="20"/>
                <w:szCs w:val="20"/>
              </w:rPr>
              <w:t xml:space="preserve">(d)</w:t>
            </w:r>
          </w:p>
        </w:tc>
        <w:tc>
          <w:p>
            <w:r>
              <w:rPr>
                <w:sz w:val="20"/>
                <w:szCs w:val="20"/>
              </w:rPr>
              <w:t xml:space="preserve">≥ 2 Fins, 8°–15°</w:t>
            </w:r>
          </w:p>
        </w:tc>
        <w:tc>
          <w:p>
            <w:r>
              <w:rPr>
                <w:sz w:val="20"/>
                <w:szCs w:val="20"/>
              </w:rPr>
              <w:t xml:space="preserve">3 Fins, 10,5° ± 0,3°</w:t>
            </w:r>
          </w:p>
        </w:tc>
        <w:tc>
          <w:p>
            <w:r>
              <w:rPr>
                <w:sz w:val="20"/>
                <w:szCs w:val="20"/>
              </w:rPr>
              <w:t xml:space="preserve">Ja</w:t>
            </w:r>
          </w:p>
        </w:tc>
      </w:tr>
      <w:tr>
        <w:tc>
          <w:p>
            <w:r>
              <w:rPr>
                <w:sz w:val="20"/>
                <w:szCs w:val="20"/>
              </w:rPr>
              <w:t xml:space="preserve">(e)</w:t>
            </w:r>
          </w:p>
        </w:tc>
        <w:tc>
          <w:p>
            <w:r>
              <w:rPr>
                <w:sz w:val="20"/>
                <w:szCs w:val="20"/>
              </w:rPr>
              <w:t xml:space="preserve">Herstellung durch SLS</w:t>
            </w:r>
          </w:p>
        </w:tc>
        <w:tc>
          <w:p>
            <w:r>
              <w:rPr>
                <w:sz w:val="20"/>
                <w:szCs w:val="20"/>
              </w:rPr>
              <w:t xml:space="preserve">SLS (bestätigt)</w:t>
            </w:r>
          </w:p>
        </w:tc>
        <w:tc>
          <w:p>
            <w:r>
              <w:rPr>
                <w:sz w:val="20"/>
                <w:szCs w:val="20"/>
              </w:rPr>
              <w:t xml:space="preserve">Ja</w:t>
            </w:r>
          </w:p>
        </w:tc>
      </w:tr>
    </w:tbl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/>
      </w:r>
    </w:p>
    <w:p>
      <w:pPr>
        <w:pStyle w:val="Heading3"/>
        <w:spacing w:after="120" w:before="240"/>
      </w:pPr>
      <w:r>
        <w:t xml:space="preserve">B. Zuständigkeit des UPC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Der Unified Patent Court ist gem. Art. 33 Abs. 1 lit. a UPCA für die Verletzungsklage zuständig, da die Verletzungshandlungen (Import, Angebot, Inverkehrbringen) in erheblichem Umfang in Deutschland stattfinden. Die Beklagte zu 2 (Bochstaedt MedSupply OHG) hat ihren Sitz in Aalen (Deutschland). Die Einbeziehung der Beklagten zu 1 (TitanOrtho, Polen) ist gem. Art. 33 Abs. 2 UPCA zulässig, da beide Beklagte koordiniert handeln.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Verfahrenssprache: Deutsch (Regel 14.2 UPC Rules of Procedure; Lokale Kammer Düsseldorf, Beschluss 10.01.2026).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/>
      </w:r>
    </w:p>
    <w:p>
      <w:pPr>
        <w:pStyle w:val="Heading2"/>
        <w:spacing w:after="120" w:before="240"/>
      </w:pPr>
      <w:r>
        <w:t xml:space="preserve">III. RECHTLICHE WÜRDIGUNG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Die Beklagten verletzen das Patent EP 3 218 922 B1 gem. § 9 Satz 2 Nr. 1 PatG i.V.m. Art. 25 lit. a UPCA durch Herstellung (Beklagte zu 1) sowie Angebot und Inverkehrbringen (Beklagte zu 2) des Produkts TitanFlex Pro in Mitgliedstaaten des UPCA. Der Unterlassungsanspruch ergibt sich aus § 139 Abs. 1 PatG. Der Auskunftsanspruch ergibt sich aus § 140b PatG. Der Schadensersatzanspruch dem Grunde nach ergibt sich aus § 139 Abs. 2 PatG; die Beklagten handeln zumindest fahrlässig, da das Patent öffentlich zugänglich ist. Der Vernichtungs- und Rückrufanspruch ergibt sich aus § 140a Abs. 1 und 3 PatG.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/>
      </w:r>
    </w:p>
    <w:p>
      <w:pPr>
        <w:pStyle w:val="Heading2"/>
        <w:spacing w:after="120" w:before="240"/>
      </w:pPr>
      <w:r>
        <w:t xml:space="preserve">IV. BEWEISMITTEL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Anlage K-1: EP 3 218 922 B1 (Erteilungsschrift, Auszug)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Anlage K-2: CE-Technische Dokumentation TitanFlex Pro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Anlage K-3: Claim Chart (Merkmalsanalyse)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Anlage K-4: µ-CT-Analysebericht, Institut für Materialprüfung Dortmund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Anlage K-5: Sachverständigengutachten Dr. Peter Morbach (TU Dortmund)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Anlage K-6: Lieferschein Bochstaedt MedSupply OHG v. 18.10.2024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Anlage K-7: Screenshots bochstaedt-medsupply.de (28.01.2026)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Anlage K-8: Vollmacht Dr. Birkenhainer (§ 80 ZPO / Art. 55 Abs. 1 UPCA)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/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München / Düsseldorf, 04. Februar 2026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/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Dr. Marie-Henriette Birkenhainer                    Dr. Gerd Rademakers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Rechtsanwältin (FA gewerblicher Rechtsschutz)        Rechtsanwalt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EPA-zugelassene Vertreterin Nr. EPA-D-12885           UPC-Zulassung CoA-2023-DE-0044</w:t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/>
      </w:r>
    </w:p>
    <w:p>
      <w:pPr>
        <w:spacing w:after="80" w:before="80"/>
      </w:pPr>
      <w:r>
        <w:rPr>
          <w:b w:val="false"/>
          <w:bCs w:val="false"/>
          <w:sz w:val="22"/>
          <w:szCs w:val="22"/>
        </w:rPr>
        <w:t xml:space="preserve">Quellen: § 139 PatG (dejure.org); § 140a PatG (dejure.org); § 140b PatG (dejure.org); Art. 25, 33, 55 UPCA (EUR-Lex: https://eur-lex.europa.eu/legal-content/DE/TXT/?uri=CELEX%3A42013A0620%2801%29); Regel 14.2 UPC Rules of Procedure (EUR-Lex).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Klageschrift UPC ACT_0188/2026 — Vellbruck ./. TitanOrtho / Bochstaedt</dc:title>
  <dc:creator>Kanzlei Birkenhainer &amp; Consulting</dc:creator>
  <dc:description>Klageschrift vor der UPC Lokalen Kammer Düsseldorf</dc:description>
  <cp:lastModifiedBy>Un-named</cp:lastModifiedBy>
  <cp:revision>1</cp:revision>
  <dcterms:created xsi:type="dcterms:W3CDTF">2026-05-30T19:05:22.618Z</dcterms:created>
  <dcterms:modified xsi:type="dcterms:W3CDTF">2026-05-30T19:05:22.618Z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