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240"/>
      </w:pPr>
      <w:r>
        <w:t xml:space="preserve">KLAGEERWIDERUNG</w:t>
      </w:r>
    </w:p>
    <w:p>
      <w:pPr>
        <w:spacing w:after="80" w:before="80"/>
      </w:pPr>
      <w:r>
        <w:rPr>
          <w:b w:val="false"/>
          <w:bCs w:val="false"/>
          <w:sz w:val="22"/>
          <w:szCs w:val="22"/>
        </w:rPr>
        <w:t xml:space="preserve">in dem Nichtigkeitsverfahren</w:t>
      </w:r>
    </w:p>
    <w:p>
      <w:pPr>
        <w:spacing w:after="80" w:before="80"/>
      </w:pPr>
      <w:r>
        <w:rPr>
          <w:b w:val="false"/>
          <w:bCs w:val="false"/>
          <w:sz w:val="22"/>
          <w:szCs w:val="22"/>
        </w:rPr>
        <w:t xml:space="preserve"/>
      </w:r>
    </w:p>
    <w:p>
      <w:pPr>
        <w:spacing w:after="80" w:before="80"/>
      </w:pPr>
      <w:r>
        <w:rPr>
          <w:b/>
          <w:bCs/>
          <w:sz w:val="22"/>
          <w:szCs w:val="22"/>
        </w:rPr>
        <w:t xml:space="preserve">Bundespatentgericht München</w:t>
      </w:r>
    </w:p>
    <w:p>
      <w:pPr>
        <w:spacing w:after="80" w:before="80"/>
      </w:pPr>
      <w:r>
        <w:rPr>
          <w:b/>
          <w:bCs/>
          <w:sz w:val="22"/>
          <w:szCs w:val="22"/>
        </w:rPr>
        <w:t xml:space="preserve">Aktenzeichen: 4 Ni 18/26</w:t>
      </w:r>
    </w:p>
    <w:p>
      <w:pPr>
        <w:spacing w:after="80" w:before="80"/>
      </w:pPr>
      <w:r>
        <w:rPr>
          <w:b w:val="false"/>
          <w:bCs w:val="false"/>
          <w:sz w:val="22"/>
          <w:szCs w:val="22"/>
        </w:rPr>
        <w:t xml:space="preserve"/>
      </w:r>
    </w:p>
    <w:p>
      <w:pPr>
        <w:spacing w:after="80" w:before="80"/>
      </w:pPr>
      <w:r>
        <w:rPr>
          <w:b w:val="false"/>
          <w:bCs w:val="false"/>
          <w:sz w:val="22"/>
          <w:szCs w:val="22"/>
        </w:rPr>
        <w:t xml:space="preserve">Klägerin (Nichtigkeitsklage): Bochstaedt MedSupply OHG, Goldschmiedstraße 17, 73430 Aalen</w:t>
      </w:r>
    </w:p>
    <w:p>
      <w:pPr>
        <w:spacing w:after="80" w:before="80"/>
      </w:pPr>
      <w:r>
        <w:rPr>
          <w:b w:val="false"/>
          <w:bCs w:val="false"/>
          <w:sz w:val="22"/>
          <w:szCs w:val="22"/>
        </w:rPr>
        <w:t xml:space="preserve"/>
      </w:r>
    </w:p>
    <w:p>
      <w:pPr>
        <w:spacing w:after="80" w:before="80"/>
      </w:pPr>
      <w:r>
        <w:rPr>
          <w:b w:val="false"/>
          <w:bCs w:val="false"/>
          <w:sz w:val="22"/>
          <w:szCs w:val="22"/>
        </w:rPr>
        <w:t xml:space="preserve">Beklagte (Patentinhaber): Vellbruck Medizintechnik GmbH, Leobener Straße 14, 70569 Stuttgart-Vaihingen</w:t>
      </w:r>
    </w:p>
    <w:p>
      <w:pPr>
        <w:spacing w:after="80" w:before="80"/>
      </w:pPr>
      <w:r>
        <w:rPr>
          <w:b w:val="false"/>
          <w:bCs w:val="false"/>
          <w:sz w:val="22"/>
          <w:szCs w:val="22"/>
        </w:rPr>
        <w:t xml:space="preserve">Prozessbevollmächtigte: Gruhl &amp; Teichmann Patentanwaltskanzlei, Widenmayerstraße 23, 80538 München (PatAnw. Dr. Rolf Gruhl)</w:t>
      </w:r>
    </w:p>
    <w:p>
      <w:pPr>
        <w:spacing w:after="80" w:before="80"/>
      </w:pPr>
      <w:r>
        <w:rPr>
          <w:b w:val="false"/>
          <w:bCs w:val="false"/>
          <w:sz w:val="22"/>
          <w:szCs w:val="22"/>
        </w:rPr>
        <w:t xml:space="preserve"/>
      </w:r>
    </w:p>
    <w:p>
      <w:pPr>
        <w:pStyle w:val="Heading2"/>
        <w:spacing w:after="120" w:before="240"/>
      </w:pPr>
      <w:r>
        <w:t xml:space="preserve">I. ANTRÄGE</w:t>
      </w:r>
    </w:p>
    <w:p>
      <w:pPr>
        <w:spacing w:after="80" w:before="80"/>
      </w:pPr>
      <w:r>
        <w:rPr>
          <w:b w:val="false"/>
          <w:bCs w:val="false"/>
          <w:sz w:val="22"/>
          <w:szCs w:val="22"/>
        </w:rPr>
        <w:t xml:space="preserve">Die Beklagte (Patentinhaber) beantragt,</w:t>
      </w:r>
    </w:p>
    <w:p>
      <w:pPr>
        <w:spacing w:after="80" w:before="80"/>
      </w:pPr>
      <w:r>
        <w:rPr>
          <w:b w:val="false"/>
          <w:bCs w:val="false"/>
          <w:sz w:val="22"/>
          <w:szCs w:val="22"/>
        </w:rPr>
        <w:t xml:space="preserve">1. die Nichtigkeitsklage in vollem Umfang abzuweisen;</w:t>
      </w:r>
    </w:p>
    <w:p>
      <w:pPr>
        <w:spacing w:after="80" w:before="80"/>
      </w:pPr>
      <w:r>
        <w:rPr>
          <w:b w:val="false"/>
          <w:bCs w:val="false"/>
          <w:sz w:val="22"/>
          <w:szCs w:val="22"/>
        </w:rPr>
        <w:t xml:space="preserve">2. hilfsweise: das Patent EP 3 218 922 B1 in der Fassung des Hilfsantrags 1 (Hauptanspruch 1 + Merkmal Unteranspruch 4: drei Fins) aufrechtzuerhalten;</w:t>
      </w:r>
    </w:p>
    <w:p>
      <w:pPr>
        <w:spacing w:after="80" w:before="80"/>
      </w:pPr>
      <w:r>
        <w:rPr>
          <w:b w:val="false"/>
          <w:bCs w:val="false"/>
          <w:sz w:val="22"/>
          <w:szCs w:val="22"/>
        </w:rPr>
        <w:t xml:space="preserve">3. weiter hilfsweise: das Patent in der Fassung des Hilfsantrags 2 (Hauptanspruch 1 + Neigungswinkel 10°–13°) aufrechtzuerhalten;</w:t>
      </w:r>
    </w:p>
    <w:p>
      <w:pPr>
        <w:spacing w:after="80" w:before="80"/>
      </w:pPr>
      <w:r>
        <w:rPr>
          <w:b w:val="false"/>
          <w:bCs w:val="false"/>
          <w:sz w:val="22"/>
          <w:szCs w:val="22"/>
        </w:rPr>
        <w:t xml:space="preserve">4. die Kosten des Verfahrens der Klägerin aufzuerlegen.</w:t>
      </w:r>
    </w:p>
    <w:p>
      <w:pPr>
        <w:spacing w:after="80" w:before="80"/>
      </w:pPr>
      <w:r>
        <w:rPr>
          <w:b w:val="false"/>
          <w:bCs w:val="false"/>
          <w:sz w:val="22"/>
          <w:szCs w:val="22"/>
        </w:rPr>
        <w:t xml:space="preserve"/>
      </w:r>
    </w:p>
    <w:p>
      <w:pPr>
        <w:pStyle w:val="Heading2"/>
        <w:spacing w:after="120" w:before="240"/>
      </w:pPr>
      <w:r>
        <w:t xml:space="preserve">II. SACHVERHALT</w:t>
      </w:r>
    </w:p>
    <w:p>
      <w:pPr>
        <w:spacing w:after="80" w:before="80"/>
      </w:pPr>
      <w:r>
        <w:rPr>
          <w:b w:val="false"/>
          <w:bCs w:val="false"/>
          <w:sz w:val="22"/>
          <w:szCs w:val="22"/>
        </w:rPr>
        <w:t xml:space="preserve">Das Patent EP 3 218 922 B1 ("Schaftimplantat für eine Hüftendoprothese mit biomimetisch strukturierter poröser Titanoberfläche und lateraler Fin-Geometrie") wurde nach einem eingehenden Prüfungsverfahren beim Europäischen Patentamt am 22. März 2018 erteilt. Das Prüfungsverfahren umfasste zwei Amtliche Bescheide sowie die Einreichung experimenteller Daten durch die Anmelderin (jetzige Beklagte/Patentinhaber). Der Prüfer hat die Neuheit und die erfinderische Tätigkeit ausdrücklich bejaht.</w:t>
      </w:r>
    </w:p>
    <w:p>
      <w:pPr>
        <w:spacing w:after="80" w:before="80"/>
      </w:pPr>
      <w:r>
        <w:rPr>
          <w:b w:val="false"/>
          <w:bCs w:val="false"/>
          <w:sz w:val="22"/>
          <w:szCs w:val="22"/>
        </w:rPr>
        <w:t xml:space="preserve">Die Klägerin (Bochstaedt MedSupply OHG) hat am 12. März 2026 Nichtigkeitsklage erhoben. Sie stützt sich auf die Druckschriften NK1 (US 8,888,829 B2, Biomet 2014) und NK2 (DE 10 2013 108 456 A1, Aesculap 2015) sowie auf den Nichtigkeitsgrund der unzulässigen Erweiterung.</w:t>
      </w:r>
    </w:p>
    <w:p>
      <w:pPr>
        <w:spacing w:after="80" w:before="80"/>
      </w:pPr>
      <w:r>
        <w:rPr>
          <w:b w:val="false"/>
          <w:bCs w:val="false"/>
          <w:sz w:val="22"/>
          <w:szCs w:val="22"/>
        </w:rPr>
        <w:t xml:space="preserve"/>
      </w:r>
    </w:p>
    <w:p>
      <w:pPr>
        <w:pStyle w:val="Heading2"/>
        <w:spacing w:after="120" w:before="240"/>
      </w:pPr>
      <w:r>
        <w:t xml:space="preserve">III. RECHTLICHE WÜRDIGUNG</w:t>
      </w:r>
    </w:p>
    <w:p>
      <w:pPr>
        <w:pStyle w:val="Heading3"/>
        <w:spacing w:after="120" w:before="240"/>
      </w:pPr>
      <w:r>
        <w:t xml:space="preserve">A. Keine Neuheitsschädlichkeit durch NK1 oder NK2</w:t>
      </w:r>
    </w:p>
    <w:p>
      <w:pPr>
        <w:spacing w:after="80" w:before="80"/>
      </w:pPr>
      <w:r>
        <w:rPr>
          <w:b w:val="false"/>
          <w:bCs w:val="false"/>
          <w:sz w:val="22"/>
          <w:szCs w:val="22"/>
        </w:rPr>
        <w:t xml:space="preserve">NK1 (US 8,888,829 B2) offenbart einen porösen Titan-Hüftschaft mit selektivem Lasersintern. NK1 zeigt jedoch kein Merkmal (d) des Anspruchs 1: NK1 beschreibt einen vollständig glatten distalen Schaft ohne jede Finstruktur. Da alle Merkmale eines Anspruchs für eine Neuheitsschädlichkeit identisch in einer einzigen Entgegenhaltung offenbart sein müssen (ständige Rechtsprechung BPatG), scheidet NK1 als neuheitsschädliche Entgegenhaltung aus.</w:t>
      </w:r>
    </w:p>
    <w:p>
      <w:pPr>
        <w:spacing w:after="80" w:before="80"/>
      </w:pPr>
      <w:r>
        <w:rPr>
          <w:b w:val="false"/>
          <w:bCs w:val="false"/>
          <w:sz w:val="22"/>
          <w:szCs w:val="22"/>
        </w:rPr>
        <w:t xml:space="preserve">NK2 (DE 10 2013 108 456 A1) zeigt zwar Rippen (Fins) an einem Hüftschaft, aber mit einem Neigungswinkel von 20°–30° — deutlich außerhalb des in Anspruch 1 beanspruchten Bereichs von 8°–15°. Außerdem fehlt NK2 die in Merkmal (b) geforderte Porosität und das selektive Lasersintern. NK2 ist ebenfalls keine neuheitsschädliche Entgegenhaltung.</w:t>
      </w:r>
    </w:p>
    <w:p>
      <w:pPr>
        <w:pStyle w:val="Heading3"/>
        <w:spacing w:after="120" w:before="240"/>
      </w:pPr>
      <w:r>
        <w:t xml:space="preserve">B. Keine Offensichtlichkeit (Naheliegen)</w:t>
      </w:r>
    </w:p>
    <w:p>
      <w:pPr>
        <w:spacing w:after="80" w:before="80"/>
      </w:pPr>
      <w:r>
        <w:rPr>
          <w:b w:val="false"/>
          <w:bCs w:val="false"/>
          <w:sz w:val="22"/>
          <w:szCs w:val="22"/>
        </w:rPr>
        <w:t xml:space="preserve">Nach der im Europäischen Patentrecht angewandten Problem-Lösungs-Methode (EPA-Richtlinie, Teil G) ist wie folgt zu prüfen: (1) Nächster Stand der Technik ist NK1. (2) Technisches Problem: Verbesserung der Primärstabilität bei zementfreier Hüftimplantation. (3) Die Lösung (Fins mit 8°–15°-Winkel in Kombination mit poröser Oberfläche) war am Prioritätstag 25.08.2016 nicht aus NK1 und NK2 kombinierbar, da NK2 keine poröse Oberfläche zeigt und der spezifische Winkelbereich (8°–15°) einen überraschenden technischen Effekt hat, der durch die Versuchsberichte der Beklagten 2017 belegt ist (Anlage B-2: Experimentalberichte, TU Dortmund 2017).</w:t>
      </w:r>
    </w:p>
    <w:p>
      <w:pPr>
        <w:spacing w:after="80" w:before="80"/>
      </w:pPr>
      <w:r>
        <w:rPr>
          <w:b w:val="false"/>
          <w:bCs w:val="false"/>
          <w:sz w:val="22"/>
          <w:szCs w:val="22"/>
        </w:rPr>
        <w:t xml:space="preserve">Der Fachmann hätte NK2 nicht mit NK1 kombiniert, weil NK2 (Fins ohne poröse Oberfläche) und NK1 (poröse Oberfläche ohne Fins) gegensätzliche Konstruktionsphilosophien repräsentieren. Eine Kombination wäre nur ex post naheliegend — was keine erfinderische Tätigkeit ausschließt.</w:t>
      </w:r>
    </w:p>
    <w:p>
      <w:pPr>
        <w:pStyle w:val="Heading3"/>
        <w:spacing w:after="120" w:before="240"/>
      </w:pPr>
      <w:r>
        <w:t xml:space="preserve">C. Keine unzulässige Erweiterung</w:t>
      </w:r>
    </w:p>
    <w:p>
      <w:pPr>
        <w:spacing w:after="80" w:before="80"/>
      </w:pPr>
      <w:r>
        <w:rPr>
          <w:b w:val="false"/>
          <w:bCs w:val="false"/>
          <w:sz w:val="22"/>
          <w:szCs w:val="22"/>
        </w:rPr>
        <w:t xml:space="preserve">Der Klägerin-Einwand, Merkmal (c) (Porengröße 400–600 µm) gehe über die ursprüngliche Offenbarung hinaus, trifft nicht zu. Die WO 2017/032 187 (Anlage B-3) offenbart in Abs. [0044] den Bereich 400–600 µm als bevorzugten Teilbereich des allgemeinen Bereichs 300–700 µm. Die Beschränkung auf einen offenbarten Teilbereich im Rahmen des Prüfungsverfahrens stellt keine unzulässige Erweiterung dar (BGH X ZR 17/05 — Schaftkappe; vgl. openjur.de).</w:t>
      </w:r>
    </w:p>
    <w:p>
      <w:pPr>
        <w:spacing w:after="80" w:before="80"/>
      </w:pPr>
      <w:r>
        <w:rPr>
          <w:b w:val="false"/>
          <w:bCs w:val="false"/>
          <w:sz w:val="22"/>
          <w:szCs w:val="22"/>
        </w:rPr>
        <w:t xml:space="preserve"/>
      </w:r>
    </w:p>
    <w:p>
      <w:pPr>
        <w:pStyle w:val="Heading2"/>
        <w:spacing w:after="120" w:before="240"/>
      </w:pPr>
      <w:r>
        <w:t xml:space="preserve">IV. BEWEISMITTEL</w:t>
      </w:r>
    </w:p>
    <w:p>
      <w:pPr>
        <w:spacing w:after="80" w:before="80"/>
      </w:pPr>
      <w:r>
        <w:rPr>
          <w:b w:val="false"/>
          <w:bCs w:val="false"/>
          <w:sz w:val="22"/>
          <w:szCs w:val="22"/>
        </w:rPr>
        <w:t xml:space="preserve">Anlage B-1: EP 3 218 922 B1 (vollständige Erteilungsschrift)</w:t>
      </w:r>
    </w:p>
    <w:p>
      <w:pPr>
        <w:spacing w:after="80" w:before="80"/>
      </w:pPr>
      <w:r>
        <w:rPr>
          <w:b w:val="false"/>
          <w:bCs w:val="false"/>
          <w:sz w:val="22"/>
          <w:szCs w:val="22"/>
        </w:rPr>
        <w:t xml:space="preserve">Anlage B-2: Experimentalberichte zur erfinderischen Tätigkeit (Vellbruck, 2017)</w:t>
      </w:r>
    </w:p>
    <w:p>
      <w:pPr>
        <w:spacing w:after="80" w:before="80"/>
      </w:pPr>
      <w:r>
        <w:rPr>
          <w:b w:val="false"/>
          <w:bCs w:val="false"/>
          <w:sz w:val="22"/>
          <w:szCs w:val="22"/>
        </w:rPr>
        <w:t xml:space="preserve">Anlage B-3: WO 2017/032 187 (Anmeldetext, ursprüngliche Offenbarung)</w:t>
      </w:r>
    </w:p>
    <w:p>
      <w:pPr>
        <w:spacing w:after="80" w:before="80"/>
      </w:pPr>
      <w:r>
        <w:rPr>
          <w:b w:val="false"/>
          <w:bCs w:val="false"/>
          <w:sz w:val="22"/>
          <w:szCs w:val="22"/>
        </w:rPr>
        <w:t xml:space="preserve">Anlage B-4: EPA-Prüfungsakte (Amtliche Bescheide + Antworten)</w:t>
      </w:r>
    </w:p>
    <w:p>
      <w:pPr>
        <w:spacing w:after="80" w:before="80"/>
      </w:pPr>
      <w:r>
        <w:rPr>
          <w:b w:val="false"/>
          <w:bCs w:val="false"/>
          <w:sz w:val="22"/>
          <w:szCs w:val="22"/>
        </w:rPr>
        <w:t xml:space="preserve">Anlage B-5: Sachverständigengutachten Dr. Morbach (Auszug Nichtigkeitsrelevanz)</w:t>
      </w:r>
    </w:p>
    <w:p>
      <w:pPr>
        <w:spacing w:after="80" w:before="80"/>
      </w:pPr>
      <w:r>
        <w:rPr>
          <w:b w:val="false"/>
          <w:bCs w:val="false"/>
          <w:sz w:val="22"/>
          <w:szCs w:val="22"/>
        </w:rPr>
        <w:t xml:space="preserve">Zeugnis: PatAnw. Dr. Rolf Gruhl (technischer Sachverhalt)</w:t>
      </w:r>
    </w:p>
    <w:p>
      <w:pPr>
        <w:spacing w:after="80" w:before="80"/>
      </w:pPr>
      <w:r>
        <w:rPr>
          <w:b w:val="false"/>
          <w:bCs w:val="false"/>
          <w:sz w:val="22"/>
          <w:szCs w:val="22"/>
        </w:rPr>
        <w:t xml:space="preserve"/>
      </w:r>
    </w:p>
    <w:p>
      <w:pPr>
        <w:spacing w:after="80" w:before="80"/>
      </w:pPr>
      <w:r>
        <w:rPr>
          <w:b w:val="false"/>
          <w:bCs w:val="false"/>
          <w:sz w:val="22"/>
          <w:szCs w:val="22"/>
        </w:rPr>
        <w:t xml:space="preserve">München, 20. Juni 2026</w:t>
      </w:r>
    </w:p>
    <w:p>
      <w:pPr>
        <w:spacing w:after="80" w:before="80"/>
      </w:pPr>
      <w:r>
        <w:rPr>
          <w:b w:val="false"/>
          <w:bCs w:val="false"/>
          <w:sz w:val="22"/>
          <w:szCs w:val="22"/>
        </w:rPr>
        <w:t xml:space="preserve"/>
      </w:r>
    </w:p>
    <w:p>
      <w:pPr>
        <w:spacing w:after="80" w:before="80"/>
      </w:pPr>
      <w:r>
        <w:rPr>
          <w:b w:val="false"/>
          <w:bCs w:val="false"/>
          <w:sz w:val="22"/>
          <w:szCs w:val="22"/>
        </w:rPr>
        <w:t xml:space="preserve">Dr. Rolf Gruhl</w:t>
      </w:r>
    </w:p>
    <w:p>
      <w:pPr>
        <w:spacing w:after="80" w:before="80"/>
      </w:pPr>
      <w:r>
        <w:rPr>
          <w:b w:val="false"/>
          <w:bCs w:val="false"/>
          <w:sz w:val="22"/>
          <w:szCs w:val="22"/>
        </w:rPr>
        <w:t xml:space="preserve">Patentanwalt</w:t>
      </w:r>
    </w:p>
    <w:p>
      <w:pPr>
        <w:spacing w:after="80" w:before="80"/>
      </w:pPr>
      <w:r>
        <w:rPr>
          <w:b w:val="false"/>
          <w:bCs w:val="false"/>
          <w:sz w:val="22"/>
          <w:szCs w:val="22"/>
        </w:rPr>
        <w:t xml:space="preserve">Gruhl &amp; Teichmann Patentanwaltskanzlei, München</w:t>
      </w:r>
    </w:p>
    <w:p>
      <w:pPr>
        <w:spacing w:after="80" w:before="80"/>
      </w:pPr>
      <w:r>
        <w:rPr>
          <w:b w:val="false"/>
          <w:bCs w:val="false"/>
          <w:sz w:val="22"/>
          <w:szCs w:val="22"/>
        </w:rPr>
        <w:t xml:space="preserve"/>
      </w:r>
    </w:p>
    <w:p>
      <w:pPr>
        <w:spacing w:after="80" w:before="80"/>
      </w:pPr>
      <w:r>
        <w:rPr>
          <w:b w:val="false"/>
          <w:bCs w:val="false"/>
          <w:sz w:val="22"/>
          <w:szCs w:val="22"/>
        </w:rPr>
        <w:t xml:space="preserve">Quellen: §§ 81, 84 PatG (dejure.org); § 3 PatG (dejure.org); § 4 PatG (dejure.org); § 38 PatG (dejure.org); BGH X ZR 17/05 (openjur.de); EPA-Richtlinie Teil G-VII.</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Klageerwiderung Nichtigkeitsklage BPatG 4 Ni 18/26</dc:title>
  <dc:creator>Gruhl &amp; Teichmann Patentanwaltskanzlei</dc:creator>
  <dc:description>Klageerwiderung des Patentinhabers im Nichtigkeitsverfahren 4 Ni 18/26 vor dem Bundespatentgericht</dc:description>
  <cp:lastModifiedBy>Un-named</cp:lastModifiedBy>
  <cp:revision>1</cp:revision>
  <dcterms:created xsi:type="dcterms:W3CDTF">2026-05-30T19:05:22.684Z</dcterms:created>
  <dcterms:modified xsi:type="dcterms:W3CDTF">2026-05-30T19:05:22.684Z</dcterms:modified>
</cp:coreProperties>
</file>

<file path=docProps/custom.xml><?xml version="1.0" encoding="utf-8"?>
<Properties xmlns="http://schemas.openxmlformats.org/officeDocument/2006/custom-properties" xmlns:vt="http://schemas.openxmlformats.org/officeDocument/2006/docPropsVTypes"/>
</file>