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rFonts w:ascii="Calibri" w:cs="Calibri" w:eastAsia="Calibri" w:hAnsi="Calibri"/>
          <w:b/>
          <w:bCs/>
          <w:sz w:val="32"/>
          <w:szCs w:val="32"/>
        </w:rPr>
        <w:t xml:space="preserve">Frischwind Mobility GmbH</w:t>
      </w:r>
    </w:p>
    <w:p>
      <w:r>
        <w:rPr>
          <w:rFonts w:ascii="Calibri" w:cs="Calibri" w:eastAsia="Calibri" w:hAnsi="Calibri"/>
          <w:b/>
          <w:bCs/>
          <w:sz w:val="28"/>
          <w:szCs w:val="28"/>
        </w:rPr>
        <w:t xml:space="preserve">Produktrückruf-Konzept — Wind-X7 Pedelec</w:t>
      </w:r>
    </w:p>
    <w:p>
      <w:r>
        <w:rPr>
          <w:rFonts w:ascii="Calibri" w:cs="Calibri" w:eastAsia="Calibri" w:hAnsi="Calibri"/>
          <w:i/>
          <w:iCs/>
          <w:color w:val="808080"/>
          <w:sz w:val="20"/>
          <w:szCs w:val="20"/>
        </w:rPr>
        <w:t xml:space="preserve">Vertraulich — Kanzlei MR-2026-0822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pStyle w:val="Heading1"/>
        <w:spacing w:after="120" w:before="240"/>
      </w:pPr>
      <w:r>
        <w:t xml:space="preserve">1. Rückruf-Entscheidung und Rechtsgrundlage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Der Krisenstab der Frischwind Mobility GmbH hat am 28. Januar 2026 einstimmig den freiwilligen Rückruf aller Wind-X7 Pedelecs aller Baujahre und Varianten beschlossen. Rechtsgrundlage: § 26 Abs. 1 ProdSG sowie Art. 20 Abs. 1 Marktüberwachungs-VO (EU) 2019/1020.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Ursache: BMS-Firmware-Bug V3.9.1 verursacht bei Umgebungstemperaturen &gt; 38 °C und Schnellladung einen unkontrollierten Ladevorgang (Integer-Overflow im Temperatur-Interrupt-Handler), der zu thermischem Durchgehen der NMC-Zellen und Brandgefahr führt.</w:t>
      </w:r>
    </w:p>
    <w:p>
      <w:pPr>
        <w:pStyle w:val="Heading1"/>
        <w:spacing w:after="120" w:before="240"/>
      </w:pPr>
      <w:r>
        <w:t xml:space="preserve">2. Betroffene Produkte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Modell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Varianten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Produktionszeitraum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Einheiten (geschätzt)</w:t>
            </w:r>
          </w:p>
        </w:tc>
      </w:tr>
      <w:tr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Wind-X7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S, M, L, XL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März 2023 – Dezember 2025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ca. 4.200</w:t>
            </w:r>
          </w:p>
        </w:tc>
      </w:tr>
      <w:tr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Wind-X7 Pro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M, L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Juni 2023 – Dezember 2025</w:t>
            </w:r>
          </w:p>
        </w:tc>
        <w:tc>
          <w:tcPr>
            <w:tcW w:type="dxa" w:w="25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In Gesamtzahl enthalten</w:t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pStyle w:val="Heading1"/>
        <w:spacing w:after="120" w:before="240"/>
      </w:pPr>
      <w:r>
        <w:t xml:space="preserve">3. Rückrufmaßnahmen</w:t>
      </w:r>
    </w:p>
    <w:p>
      <w:pPr>
        <w:pStyle w:val="Heading2"/>
        <w:spacing w:after="100" w:before="200"/>
      </w:pPr>
      <w:r>
        <w:t xml:space="preserve">3.1 Phase 1 — Händler (ab 05.02.2026)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Alle 48 Vertragshändler in DE/AT/CH wurden per Einschreiben/Rückschein informiert. Inhalt: sofortiger Verkaufsstopp, Sicherstellung lagernd. Rücksendelogistik auf Kosten Frischwind.</w:t>
      </w:r>
    </w:p>
    <w:p>
      <w:pPr>
        <w:pStyle w:val="Heading2"/>
        <w:spacing w:after="100" w:before="200"/>
      </w:pPr>
      <w:r>
        <w:t xml:space="preserve">3.2 Phase 2 — Endkunden (ab 10.02.2026)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Direkte Kundenanschreiben an 3.408 registrierte Kunden per E-Mail. Postsendung für nicht-registrierte Kunden. Hotline 0800-FRISCHWIND (kostenfrei, Mo–Fr 08–18 Uhr).</w:t>
      </w:r>
    </w:p>
    <w:p>
      <w:pPr>
        <w:pStyle w:val="Heading2"/>
        <w:spacing w:after="100" w:before="200"/>
      </w:pPr>
      <w:r>
        <w:t xml:space="preserve">3.3 Phase 3 — Rücknahme und Entschädigung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Rückgabe-Standorte: 48 Vertragshändler + Werk Erfurt. Entschädigungsoptionen: (a) Vollrückerstattung Kaufpreis oder (b) Gutschein für Wind-X8 + 200 EUR Bonus.</w:t>
      </w:r>
    </w:p>
    <w:p>
      <w:pPr>
        <w:pStyle w:val="Heading1"/>
        <w:spacing w:after="120" w:before="240"/>
      </w:pPr>
      <w:r>
        <w:t xml:space="preserve">4. Kostenprognose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Kostenposition</w:t>
            </w:r>
          </w:p>
        </w:tc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Schätzung (EUR)</w:t>
            </w:r>
          </w:p>
        </w:tc>
      </w:tr>
      <w:tr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Logistik Rücktransport</w:t>
            </w:r>
          </w:p>
        </w:tc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420.000</w:t>
            </w:r>
          </w:p>
        </w:tc>
      </w:tr>
      <w:tr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Kaufpreiserstattungen (70 %)</w:t>
            </w:r>
          </w:p>
        </w:tc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11.732.000</w:t>
            </w:r>
          </w:p>
        </w:tc>
      </w:tr>
      <w:tr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Gutschein-Differenz (30 %)</w:t>
            </w:r>
          </w:p>
        </w:tc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1.200.000</w:t>
            </w:r>
          </w:p>
        </w:tc>
      </w:tr>
      <w:tr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Personal/Hotline</w:t>
            </w:r>
          </w:p>
        </w:tc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180.000</w:t>
            </w:r>
          </w:p>
        </w:tc>
      </w:tr>
      <w:tr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Rechts-/Gutachterkosten</w:t>
            </w:r>
          </w:p>
        </w:tc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280.000</w:t>
            </w:r>
          </w:p>
        </w:tc>
      </w:tr>
      <w:tr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Kommunikationskosten</w:t>
            </w:r>
          </w:p>
        </w:tc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120.000</w:t>
            </w:r>
          </w:p>
        </w:tc>
      </w:tr>
      <w:tr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Gesamt (geschätzt)</w:t>
            </w:r>
          </w:p>
        </w:tc>
        <w:tc>
          <w:tcPr>
            <w:tcW w:type="dxa" w:w="5000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13.932.000</w:t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pStyle w:val="Heading1"/>
        <w:spacing w:after="120" w:before="240"/>
      </w:pPr>
      <w:r>
        <w:t xml:space="preserve">5. Zuständigkeiten und Zeitplan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Gesamtverantwortung: GF Sven Frischwind. Händlerkommunikation: CCO Marc Lattermann. Logistik: Qualitätsleitung Thomas Gäbler. Rechtsbegleitung: Roosendaal Rechtsanwälte (AZ MR-2026-0822).</w:t>
      </w:r>
    </w:p>
    <w:p>
      <w:pPr>
        <w:pStyle w:val="Heading1"/>
        <w:spacing w:after="120" w:before="240"/>
      </w:pPr>
      <w:r>
        <w:t xml:space="preserve">6. Quellenhinweis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ProdSG § 26 (Rücknahme/Rückruf): https://www.gesetze-im-internet.de/prodsg_2021/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Marktüberwachungs-VO (EU) 2019/1020 Art. 20: https://eur-lex.europa.eu/legal-content/DE/TXT/?uri=CELEX:32019R1020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2026-05-30T20:13:28.525Z</dcterms:created>
  <dcterms:modified xsi:type="dcterms:W3CDTF">2026-05-30T20:13:28.525Z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