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b/>
          <w:bCs/>
          <w:sz w:val="22"/>
          <w:szCs w:val="22"/>
        </w:rPr>
        <w:t xml:space="preserve">RA Dr. Magnus Schorlemmer</w:t>
      </w:r>
    </w:p>
    <w:p>
      <w:r>
        <w:rPr>
          <w:rFonts w:ascii="Arial" w:cs="Arial" w:eastAsia="Arial" w:hAnsi="Arial"/>
          <w:sz w:val="22"/>
          <w:szCs w:val="22"/>
        </w:rPr>
        <w:t xml:space="preserve">Schorlemmer &amp; Partner Strafverteidigung</w:t>
      </w:r>
    </w:p>
    <w:p>
      <w:r>
        <w:rPr>
          <w:rFonts w:ascii="Arial" w:cs="Arial" w:eastAsia="Arial" w:hAnsi="Arial"/>
          <w:sz w:val="22"/>
          <w:szCs w:val="22"/>
        </w:rPr>
        <w:t xml:space="preserve">Rotebühlplatz 14, 70178 Stuttgart</w:t>
      </w:r>
    </w:p>
    <w:p>
      <w:r>
        <w:rPr>
          <w:rFonts w:ascii="Arial" w:cs="Arial" w:eastAsia="Arial" w:hAnsi="Arial"/>
          <w:sz w:val="22"/>
          <w:szCs w:val="22"/>
        </w:rPr>
        <w:t xml:space="preserve">Tel. 0711 / 22 44 11-0 | Fax 0711 / 22 44 11-99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Staatsanwaltschaft Stuttgart</w:t>
      </w:r>
    </w:p>
    <w:p>
      <w:r>
        <w:rPr>
          <w:rFonts w:ascii="Arial" w:cs="Arial" w:eastAsia="Arial" w:hAnsi="Arial"/>
          <w:sz w:val="22"/>
          <w:szCs w:val="22"/>
        </w:rPr>
        <w:t xml:space="preserve">Oberstaatsanwaeltin Katrin Freudenberg</w:t>
      </w:r>
    </w:p>
    <w:p>
      <w:r>
        <w:rPr>
          <w:rFonts w:ascii="Arial" w:cs="Arial" w:eastAsia="Arial" w:hAnsi="Arial"/>
          <w:sz w:val="22"/>
          <w:szCs w:val="22"/>
        </w:rPr>
        <w:t xml:space="preserve">Wilhelmstrasse 20, 70182 Stuttgart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Stuttgart, 08. Januar 2026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In der Strafsache</w:t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StA Stuttgart 4 Js 18.422/26</w:t>
      </w:r>
    </w:p>
    <w:p>
      <w:r>
        <w:rPr>
          <w:rFonts w:ascii="Arial" w:cs="Arial" w:eastAsia="Arial" w:hAnsi="Arial"/>
          <w:sz w:val="22"/>
          <w:szCs w:val="22"/>
        </w:rPr>
        <w:t xml:space="preserve">gegen Korbiel u.a. wegen bandenmaessigen schweren Raubes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Antrag auf vollstaendige Akteneinsicht nach § 147 StPO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Sehr geehrte Frau Oberstaatsanwaeltin Freudenberg,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ich verteidige Herrn Mateusz Korbiel, geb. 04.03.1997, derzeit inhaftiert in der JVA Stammheim, in dem oben bezeichneten Verfahren (Vollmacht anliegend). In dieser Eigenschaft beantrage ich hiermit gemäß § 147 Abs. 1 StPO vollständige Akteneinsicht in sämtliche Verfahrensakten.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I. Umfang des Einsichtsantrags</w:t>
      </w:r>
    </w:p>
    <w:p>
      <w:r>
        <w:rPr>
          <w:rFonts w:ascii="Arial" w:cs="Arial" w:eastAsia="Arial" w:hAnsi="Arial"/>
          <w:sz w:val="22"/>
          <w:szCs w:val="22"/>
        </w:rPr>
        <w:t xml:space="preserve">Im Einzelnen begehre ich Einsicht in: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1. Sämtliche Hauptaktenbände I bis XII (derzeit 4.847 Seiten)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2. Sonderband TKUe (Bde. I bis IV, ca. 1.247 Seiten)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3. Sonderband FZA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4. Sonderband EncroChat/SkyECC (SB ECC) — bisher gesperrt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5. Saemtliche Lichtbildmappen (I und II)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6. Saemtliche Video-/Tonmaterial-Datentraeger (12 CD/DVD)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7. USB-Sticks mit Chain-Analysis-Exporten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8. Sonderakte Krasniqi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9. Saemtliche Rechtshilfekorrespondenz (Polen und Rumaenien)</w:t>
      </w:r>
    </w:p>
    <w:p>
      <w:pPr>
        <w:ind w:left="720"/>
      </w:pPr>
      <w:r>
        <w:rPr>
          <w:rFonts w:ascii="Arial" w:cs="Arial" w:eastAsia="Arial" w:hAnsi="Arial"/>
          <w:sz w:val="22"/>
          <w:szCs w:val="22"/>
        </w:rPr>
        <w:t xml:space="preserve">10. Saemtliche Sachverstaendigengutachten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II. Rechtliche Grundlage</w:t>
      </w:r>
    </w:p>
    <w:p>
      <w:r>
        <w:rPr>
          <w:rFonts w:ascii="Arial" w:cs="Arial" w:eastAsia="Arial" w:hAnsi="Arial"/>
          <w:sz w:val="22"/>
          <w:szCs w:val="22"/>
        </w:rPr>
        <w:t xml:space="preserve">Gemaess § 147 Abs. 1 StPO ist der Verteidiger berechtigt, die dem Gericht vorliegenden oder im Ermittlungsverfahren der Staatsanwaltschaft einzureichenden Akten einzusehen. Nach Abschluss der Ermittlungen — was mit Erhebung der Anklageschrift am 17.11.2025 geschehen ist — besteht kein Grundsatz mehr, der die Akteneinsicht beschraenken wuerde (vgl. § 147 Abs. 2 StPO: Beschraenkung nur zum Schutz des Untersuchungszwecks, der nach Anklageerhebung entfaellt).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Speziell hinsichtlich des Sonderbandes SB ECC weise ich darauf hin, dass die dortige Sperrentscheidung nach § 96 StPO nach Anklageerhebung nicht mehr aufrechterhalten werden kann, soweit sie sich nicht auf echten Quellenschutz bezieht. Die EncroChat-Daten sind Hauptbeweismittel der Anklage; ohne Einsicht in diese Daten ist eine effektive Verteidigung nach Art. 6 Abs. 3 lit. b EMRK nicht moeglich (BGH NStZ 2022, 118).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III. Bitte um Stellungnahme / Rechtsmittelbelehrung</w:t>
      </w:r>
    </w:p>
    <w:p>
      <w:r>
        <w:rPr>
          <w:rFonts w:ascii="Arial" w:cs="Arial" w:eastAsia="Arial" w:hAnsi="Arial"/>
          <w:sz w:val="22"/>
          <w:szCs w:val="22"/>
        </w:rPr>
        <w:t xml:space="preserve">Ich bitte um schriftliche Bestaetigung der vollstaendigen Gewaehrung oder — falls eine teilweise Verweigerung beabsichtigt ist — um einen beschwerdefaehigen Beschluss, damit ich gemäß § 304 StPO Beschwerde zum Landgericht Stuttgart einlegen kann.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Mit freundlichen kollegialen Grüßen,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RA Dr. Magnus Schorlemmer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Anlagen: Vollmacht Korbiel vom 03.11.2025</w:t>
      </w:r>
    </w:p>
    <w:p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i/>
          <w:iCs/>
          <w:color w:val="7A7974"/>
          <w:sz w:val="18"/>
          <w:szCs w:val="18"/>
        </w:rPr>
        <w:t xml:space="preserve">Quellen: § 147 StPO, § 147 Abs. 2 StPO, § 304 StPO (dejure.org); Art. 6 Abs. 3 lit. b EMRK; BGH NStZ 2022, 118.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rPr>
      <w:rFonts w:ascii="Arial" w:cs="Arial" w:eastAsia="Arial" w:hAnsi="Arial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2026-05-30T17:27:03.785Z</dcterms:created>
  <dcterms:modified xsi:type="dcterms:W3CDTF">2026-05-30T17:27:03.785Z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