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b/>
          <w:bCs/>
          <w:sz w:val="22"/>
          <w:szCs w:val="22"/>
        </w:rPr>
        <w:t xml:space="preserve">RAin Dr. Vivien Mohnsen-Stoeber</w:t>
      </w:r>
    </w:p>
    <w:p>
      <w:r>
        <w:rPr>
          <w:rFonts w:ascii="Arial" w:cs="Arial" w:eastAsia="Arial" w:hAnsi="Arial"/>
          <w:sz w:val="22"/>
          <w:szCs w:val="22"/>
        </w:rPr>
        <w:t xml:space="preserve">Kanzlei Mohnsen-Stoeber</w:t>
      </w:r>
    </w:p>
    <w:p>
      <w:r>
        <w:rPr>
          <w:rFonts w:ascii="Arial" w:cs="Arial" w:eastAsia="Arial" w:hAnsi="Arial"/>
          <w:sz w:val="22"/>
          <w:szCs w:val="22"/>
        </w:rPr>
        <w:t xml:space="preserve">Tübinger Strasse 22, 70178 Stuttgart</w:t>
      </w:r>
    </w:p>
    <w:p>
      <w:r>
        <w:rPr>
          <w:rFonts w:ascii="Arial" w:cs="Arial" w:eastAsia="Arial" w:hAnsi="Arial"/>
          <w:sz w:val="22"/>
          <w:szCs w:val="22"/>
        </w:rPr>
        <w:t xml:space="preserve"/>
      </w:r>
    </w:p>
    <w:p>
      <w:r>
        <w:rPr>
          <w:rFonts w:ascii="Arial" w:cs="Arial" w:eastAsia="Arial" w:hAnsi="Arial"/>
          <w:b/>
          <w:bCs/>
          <w:sz w:val="22"/>
          <w:szCs w:val="22"/>
        </w:rPr>
        <w:t xml:space="preserve">Landgericht Stuttgart</w:t>
      </w:r>
    </w:p>
    <w:p>
      <w:r>
        <w:rPr>
          <w:rFonts w:ascii="Arial" w:cs="Arial" w:eastAsia="Arial" w:hAnsi="Arial"/>
          <w:sz w:val="22"/>
          <w:szCs w:val="22"/>
        </w:rPr>
        <w:t xml:space="preserve">4. Große Strafkammer</w:t>
      </w:r>
    </w:p>
    <w:p>
      <w:r>
        <w:rPr>
          <w:rFonts w:ascii="Arial" w:cs="Arial" w:eastAsia="Arial" w:hAnsi="Arial"/>
          <w:sz w:val="22"/>
          <w:szCs w:val="22"/>
        </w:rPr>
        <w:t xml:space="preserve">Urbanstrasse 20, 70182 Stuttgart</w:t>
      </w:r>
    </w:p>
    <w:p>
      <w:r>
        <w:rPr>
          <w:rFonts w:ascii="Arial" w:cs="Arial" w:eastAsia="Arial" w:hAnsi="Arial"/>
          <w:sz w:val="22"/>
          <w:szCs w:val="22"/>
        </w:rPr>
        <w:t xml:space="preserve"/>
      </w:r>
    </w:p>
    <w:p>
      <w:r>
        <w:rPr>
          <w:rFonts w:ascii="Arial" w:cs="Arial" w:eastAsia="Arial" w:hAnsi="Arial"/>
          <w:i/>
          <w:iCs/>
          <w:sz w:val="22"/>
          <w:szCs w:val="22"/>
        </w:rPr>
        <w:t xml:space="preserve">Stuttgart, 15. Februar 2026</w:t>
      </w:r>
    </w:p>
    <w:p>
      <w:r>
        <w:rPr>
          <w:rFonts w:ascii="Arial" w:cs="Arial" w:eastAsia="Arial" w:hAnsi="Arial"/>
          <w:sz w:val="22"/>
          <w:szCs w:val="22"/>
        </w:rPr>
        <w:t xml:space="preserve"/>
      </w:r>
    </w:p>
    <w:p>
      <w:r>
        <w:rPr>
          <w:rFonts w:ascii="Arial" w:cs="Arial" w:eastAsia="Arial" w:hAnsi="Arial"/>
          <w:sz w:val="22"/>
          <w:szCs w:val="22"/>
        </w:rPr>
        <w:t xml:space="preserve">In der Strafsache gegen Edona Krasniqi (geb. 11.08.1999)</w:t>
      </w:r>
    </w:p>
    <w:p>
      <w:r>
        <w:rPr>
          <w:rFonts w:ascii="Arial" w:cs="Arial" w:eastAsia="Arial" w:hAnsi="Arial"/>
          <w:sz w:val="22"/>
          <w:szCs w:val="22"/>
        </w:rPr>
        <w:t xml:space="preserve">StA Stuttgart 4 Js 18.422/26 / Haftbefehl AG Stuttgart 2025-2904 U/2</w:t>
      </w:r>
    </w:p>
    <w:p>
      <w:r>
        <w:rPr>
          <w:rFonts w:ascii="Arial" w:cs="Arial" w:eastAsia="Arial" w:hAnsi="Arial"/>
          <w:sz w:val="22"/>
          <w:szCs w:val="22"/>
        </w:rPr>
        <w:t xml:space="preserve"/>
      </w:r>
    </w:p>
    <w:p>
      <w:pPr>
        <w:pStyle w:val="Heading1"/>
      </w:pPr>
      <w:r>
        <w:rPr>
          <w:rFonts w:ascii="Arial" w:cs="Arial" w:eastAsia="Arial" w:hAnsi="Arial"/>
          <w:b/>
          <w:bCs/>
          <w:sz w:val="26"/>
          <w:szCs w:val="26"/>
        </w:rPr>
        <w:t xml:space="preserve">Antrag auf Aussetzung/Aufhebung des Haftbefehls wegen Schwangerschaft und Mutterschaft (§ 116 StPO, § 72a StPO)</w:t>
      </w:r>
    </w:p>
    <w:p>
      <w:r>
        <w:rPr>
          <w:rFonts w:ascii="Arial" w:cs="Arial" w:eastAsia="Arial" w:hAnsi="Arial"/>
          <w:sz w:val="22"/>
          <w:szCs w:val="22"/>
        </w:rPr>
        <w:t xml:space="preserve"/>
      </w:r>
    </w:p>
    <w:p>
      <w:r>
        <w:rPr>
          <w:rFonts w:ascii="Arial" w:cs="Arial" w:eastAsia="Arial" w:hAnsi="Arial"/>
          <w:sz w:val="22"/>
          <w:szCs w:val="22"/>
        </w:rPr>
        <w:t xml:space="preserve">Sehr geehrte Damen und Herren,</w:t>
      </w:r>
    </w:p>
    <w:p>
      <w:r>
        <w:rPr>
          <w:rFonts w:ascii="Arial" w:cs="Arial" w:eastAsia="Arial" w:hAnsi="Arial"/>
          <w:sz w:val="22"/>
          <w:szCs w:val="22"/>
        </w:rPr>
        <w:t xml:space="preserve"/>
      </w:r>
    </w:p>
    <w:p>
      <w:r>
        <w:rPr>
          <w:rFonts w:ascii="Arial" w:cs="Arial" w:eastAsia="Arial" w:hAnsi="Arial"/>
          <w:sz w:val="22"/>
          <w:szCs w:val="22"/>
        </w:rPr>
        <w:t xml:space="preserve">namens und in Vollmacht meiner Mandantin Edona Krasniqi beantrage ich hiermit, den Haftbefehl des AG Stuttgart vom 20.10.2025 (Az. 2025-2904 U/2) aufzuheben, hilfsweise den Vollzug des Haftbefehls auszusetzen und weniger einschneidende Massnahmen gemaess § 116 Abs. 1 StPO anzuordnen.</w:t>
      </w:r>
    </w:p>
    <w:p>
      <w:r>
        <w:rPr>
          <w:rFonts w:ascii="Arial" w:cs="Arial" w:eastAsia="Arial" w:hAnsi="Arial"/>
          <w:sz w:val="22"/>
          <w:szCs w:val="22"/>
        </w:rPr>
        <w:t xml:space="preserve"/>
      </w:r>
    </w:p>
    <w:p>
      <w:r>
        <w:rPr>
          <w:rFonts w:ascii="Arial" w:cs="Arial" w:eastAsia="Arial" w:hAnsi="Arial"/>
          <w:b/>
          <w:bCs/>
          <w:sz w:val="22"/>
          <w:szCs w:val="22"/>
        </w:rPr>
        <w:t xml:space="preserve">I. Sachverhalt</w:t>
      </w:r>
    </w:p>
    <w:p>
      <w:r>
        <w:rPr>
          <w:rFonts w:ascii="Arial" w:cs="Arial" w:eastAsia="Arial" w:hAnsi="Arial"/>
          <w:sz w:val="22"/>
          <w:szCs w:val="22"/>
        </w:rPr>
        <w:t xml:space="preserve">Meine Mandantin befindet sich seit dem 20.10.2025 in Untersuchungshaft (JVA Schwaebisch Gmuend, Frauenabteilung). Sie ist zum Stand 15.02.2026 in der 26. Schwangerschaftswoche (SSW 26). Der voraussichtliche Entbindungstermin liegt Ende Mai 2026. Ihr Sohn Blerim (2 Jahre) lebt bei der Grossmutter in Pristina (Kosovo) und hat seit der Inhaftierung nur eingeschraenkten Kontakt zur Mutter.</w:t>
      </w:r>
    </w:p>
    <w:p>
      <w:r>
        <w:rPr>
          <w:rFonts w:ascii="Arial" w:cs="Arial" w:eastAsia="Arial" w:hAnsi="Arial"/>
          <w:sz w:val="22"/>
          <w:szCs w:val="22"/>
        </w:rPr>
        <w:t xml:space="preserve"/>
      </w:r>
    </w:p>
    <w:p>
      <w:r>
        <w:rPr>
          <w:rFonts w:ascii="Arial" w:cs="Arial" w:eastAsia="Arial" w:hAnsi="Arial"/>
          <w:b/>
          <w:bCs/>
          <w:sz w:val="22"/>
          <w:szCs w:val="22"/>
        </w:rPr>
        <w:t xml:space="preserve">II. Rechtliche Ausfuehrungen</w:t>
      </w:r>
    </w:p>
    <w:p>
      <w:r>
        <w:rPr>
          <w:rFonts w:ascii="Arial" w:cs="Arial" w:eastAsia="Arial" w:hAnsi="Arial"/>
          <w:b/>
          <w:bCs/>
          <w:sz w:val="22"/>
          <w:szCs w:val="22"/>
        </w:rPr>
        <w:t xml:space="preserve">1. Verhaeltnismaessigkeit (§ 112 Abs. 1 S. 2 StPO)</w:t>
      </w:r>
    </w:p>
    <w:p>
      <w:r>
        <w:rPr>
          <w:rFonts w:ascii="Arial" w:cs="Arial" w:eastAsia="Arial" w:hAnsi="Arial"/>
          <w:sz w:val="22"/>
          <w:szCs w:val="22"/>
        </w:rPr>
        <w:t xml:space="preserve">Die Anordnung und der Vollzug der Untersuchungshaft stehen im Widerspruch zum Verhaeltnismaessigkeitsgrundsatz. Das Bundesverfassungsgericht hat mehrfach entschieden, dass bei einer schwangeren Beschuldigten oder Mutter eines Kleinkindes die konkreten Auswirkungen der Inhaftierung auf das Kind besonders zu gewichten sind (BVerfG 2 BvR 1394/16, NJW 2019, 905). § 72a StPO schreibt ausdruecklich vor, dass das Gericht bei Entscheidungen ueber den Vollzug der Untersuchungshaft die Lage des Kindes besonders beruecksichtigt.</w:t>
      </w:r>
    </w:p>
    <w:p>
      <w:r>
        <w:rPr>
          <w:rFonts w:ascii="Arial" w:cs="Arial" w:eastAsia="Arial" w:hAnsi="Arial"/>
          <w:sz w:val="22"/>
          <w:szCs w:val="22"/>
        </w:rPr>
        <w:t xml:space="preserve"/>
      </w:r>
    </w:p>
    <w:p>
      <w:r>
        <w:rPr>
          <w:rFonts w:ascii="Arial" w:cs="Arial" w:eastAsia="Arial" w:hAnsi="Arial"/>
          <w:b/>
          <w:bCs/>
          <w:sz w:val="22"/>
          <w:szCs w:val="22"/>
        </w:rPr>
        <w:t xml:space="preserve">2. Fluchtgefahr widerlegt (§ 112 Abs. 2 Nr. 2 StPO)</w:t>
      </w:r>
    </w:p>
    <w:p>
      <w:r>
        <w:rPr>
          <w:rFonts w:ascii="Arial" w:cs="Arial" w:eastAsia="Arial" w:hAnsi="Arial"/>
          <w:sz w:val="22"/>
          <w:szCs w:val="22"/>
        </w:rPr>
        <w:t xml:space="preserve">In der SSW 26 ist meiner Mandantin eine Flucht medizinisch und praktisch nicht moeglich. Sie hat kein Geld und keine Ressourcen fuer eine Ausreise. Ihr ungeborenes Kind wird in Deutschland zur Welt kommen. Diese faktischen Umstaende beseitigen die Fluchtgefahr zumindest bis zur Geburt und darueber hinaus (Kinder-Bindung, Stillen). Weniger einschneidende Massnahmen (§ 116 Abs. 1 Nr. 1 StPO: Meldeauflage; § 116 Abs. 1 Nr. 4 StPO: Kaution) genuegen.</w:t>
      </w:r>
    </w:p>
    <w:p>
      <w:r>
        <w:rPr>
          <w:rFonts w:ascii="Arial" w:cs="Arial" w:eastAsia="Arial" w:hAnsi="Arial"/>
          <w:sz w:val="22"/>
          <w:szCs w:val="22"/>
        </w:rPr>
        <w:t xml:space="preserve"/>
      </w:r>
    </w:p>
    <w:p>
      <w:r>
        <w:rPr>
          <w:rFonts w:ascii="Arial" w:cs="Arial" w:eastAsia="Arial" w:hAnsi="Arial"/>
          <w:b/>
          <w:bCs/>
          <w:sz w:val="22"/>
          <w:szCs w:val="22"/>
        </w:rPr>
        <w:t xml:space="preserve">3. Gesundheitliche Beeintraechtigung (Amtsarztbefund)</w:t>
      </w:r>
    </w:p>
    <w:p>
      <w:r>
        <w:rPr>
          <w:rFonts w:ascii="Arial" w:cs="Arial" w:eastAsia="Arial" w:hAnsi="Arial"/>
          <w:sz w:val="22"/>
          <w:szCs w:val="22"/>
        </w:rPr>
        <w:t xml:space="preserve">Der amtsaerztliche Befund von Dr. Heide Bollmann (JVA Schwaebisch Gmuend, 15.01.2026) stellt fest: 'Erhoehter Stresspegel, Schlafmangel, Risikozeichen HZV-Anpassung; aerztliche Engmaschigkeit erforderlich.' Die Haftbedingungen gehen ueber das im Schwangerschaftsrecht tolerierbare Mass hinaus.</w:t>
      </w:r>
    </w:p>
    <w:p>
      <w:r>
        <w:rPr>
          <w:rFonts w:ascii="Arial" w:cs="Arial" w:eastAsia="Arial" w:hAnsi="Arial"/>
          <w:sz w:val="22"/>
          <w:szCs w:val="22"/>
        </w:rPr>
        <w:t xml:space="preserve"/>
      </w:r>
    </w:p>
    <w:p>
      <w:r>
        <w:rPr>
          <w:rFonts w:ascii="Arial" w:cs="Arial" w:eastAsia="Arial" w:hAnsi="Arial"/>
          <w:b/>
          <w:bCs/>
          <w:sz w:val="22"/>
          <w:szCs w:val="22"/>
        </w:rPr>
        <w:t xml:space="preserve">III. Antrag</w:t>
      </w:r>
    </w:p>
    <w:p>
      <w:r>
        <w:rPr>
          <w:rFonts w:ascii="Arial" w:cs="Arial" w:eastAsia="Arial" w:hAnsi="Arial"/>
          <w:sz w:val="22"/>
          <w:szCs w:val="22"/>
        </w:rPr>
        <w:t xml:space="preserve">Es wird beantragt:</w:t>
      </w:r>
    </w:p>
    <w:p>
      <w:pPr>
        <w:ind w:left="720"/>
      </w:pPr>
      <w:r>
        <w:rPr>
          <w:rFonts w:ascii="Arial" w:cs="Arial" w:eastAsia="Arial" w:hAnsi="Arial"/>
          <w:sz w:val="22"/>
          <w:szCs w:val="22"/>
        </w:rPr>
        <w:t xml:space="preserve">1. Den Haftbefehl gegen Edona Krasniqi (Az. 2025-2904 U/2) aufzuheben.</w:t>
      </w:r>
    </w:p>
    <w:p>
      <w:pPr>
        <w:ind w:left="360"/>
      </w:pPr>
      <w:r>
        <w:rPr>
          <w:rFonts w:ascii="Arial" w:cs="Arial" w:eastAsia="Arial" w:hAnsi="Arial"/>
          <w:i/>
          <w:iCs/>
          <w:sz w:val="22"/>
          <w:szCs w:val="22"/>
        </w:rPr>
        <w:t xml:space="preserve">Hilfsweise:</w:t>
      </w:r>
    </w:p>
    <w:p>
      <w:pPr>
        <w:ind w:left="720"/>
      </w:pPr>
      <w:r>
        <w:rPr>
          <w:rFonts w:ascii="Arial" w:cs="Arial" w:eastAsia="Arial" w:hAnsi="Arial"/>
          <w:sz w:val="22"/>
          <w:szCs w:val="22"/>
        </w:rPr>
        <w:t xml:space="preserve">2. Den Vollzug des Haftbefehls auszusetzen und Meldeauflagen gemaess § 116 Abs. 1 Nr. 1 StPO anzuordnen.</w:t>
      </w:r>
    </w:p>
    <w:p>
      <w:pPr>
        <w:ind w:left="720"/>
      </w:pPr>
      <w:r>
        <w:rPr>
          <w:rFonts w:ascii="Arial" w:cs="Arial" w:eastAsia="Arial" w:hAnsi="Arial"/>
          <w:sz w:val="22"/>
          <w:szCs w:val="22"/>
        </w:rPr>
        <w:t xml:space="preserve">3. Meine Mandantin umgehend in die Mutter-Kind-Einheit der JVA Schwaebisch Gmuend zu verlegen (falls Hilfsantrag nicht gewaehrt).</w:t>
      </w:r>
    </w:p>
    <w:p>
      <w:r>
        <w:rPr>
          <w:rFonts w:ascii="Arial" w:cs="Arial" w:eastAsia="Arial" w:hAnsi="Arial"/>
          <w:sz w:val="22"/>
          <w:szCs w:val="22"/>
        </w:rPr>
        <w:t xml:space="preserve"/>
      </w:r>
    </w:p>
    <w:p>
      <w:r>
        <w:rPr>
          <w:rFonts w:ascii="Arial" w:cs="Arial" w:eastAsia="Arial" w:hAnsi="Arial"/>
          <w:sz w:val="22"/>
          <w:szCs w:val="22"/>
        </w:rPr>
        <w:t xml:space="preserve">Mit freundlichen kollegialen Grüßen,</w:t>
      </w:r>
    </w:p>
    <w:p>
      <w:r>
        <w:rPr>
          <w:rFonts w:ascii="Arial" w:cs="Arial" w:eastAsia="Arial" w:hAnsi="Arial"/>
          <w:sz w:val="22"/>
          <w:szCs w:val="22"/>
        </w:rPr>
        <w:t xml:space="preserve"/>
      </w:r>
    </w:p>
    <w:p>
      <w:r>
        <w:rPr>
          <w:rFonts w:ascii="Arial" w:cs="Arial" w:eastAsia="Arial" w:hAnsi="Arial"/>
          <w:sz w:val="22"/>
          <w:szCs w:val="22"/>
        </w:rPr>
        <w:t xml:space="preserve"/>
      </w:r>
    </w:p>
    <w:p>
      <w:r>
        <w:rPr>
          <w:rFonts w:ascii="Arial" w:cs="Arial" w:eastAsia="Arial" w:hAnsi="Arial"/>
          <w:b/>
          <w:bCs/>
          <w:sz w:val="22"/>
          <w:szCs w:val="22"/>
        </w:rPr>
        <w:t xml:space="preserve">RAin Dr. Vivien Mohnsen-Stoeber</w:t>
      </w:r>
    </w:p>
    <w:p>
      <w:r>
        <w:rPr>
          <w:rFonts w:ascii="Arial" w:cs="Arial" w:eastAsia="Arial" w:hAnsi="Arial"/>
          <w:sz w:val="22"/>
          <w:szCs w:val="22"/>
        </w:rPr>
        <w:t xml:space="preserve"/>
      </w:r>
    </w:p>
    <w:p>
      <w:r>
        <w:rPr>
          <w:rFonts w:ascii="Arial" w:cs="Arial" w:eastAsia="Arial" w:hAnsi="Arial"/>
          <w:i/>
          <w:iCs/>
          <w:color w:val="7A7974"/>
          <w:sz w:val="18"/>
          <w:szCs w:val="18"/>
        </w:rPr>
        <w:t xml:space="preserve">Quellen: § 116 StPO, § 72a StPO, § 112 StPO (dejure.org); BVerfG 2 BvR 1394/16, NJW 2019, 905; Art. 6 GG; UN-KRK Art. 9.</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2026-05-30T17:27:49.680Z</dcterms:created>
  <dcterms:modified xsi:type="dcterms:W3CDTF">2026-05-30T17:27:49.680Z</dcterms:modified>
</cp:coreProperties>
</file>

<file path=docProps/custom.xml><?xml version="1.0" encoding="utf-8"?>
<Properties xmlns="http://schemas.openxmlformats.org/officeDocument/2006/custom-properties" xmlns:vt="http://schemas.openxmlformats.org/officeDocument/2006/docPropsVTypes"/>
</file>