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rFonts w:ascii="Arial" w:cs="Arial" w:eastAsia="Arial" w:hAnsi="Arial"/>
          <w:i/>
          <w:iCs/>
          <w:sz w:val="22"/>
          <w:szCs w:val="22"/>
        </w:rPr>
        <w:t xml:space="preserve">In der Hauptverhandlung</w:t>
      </w:r>
    </w:p>
    <w:p>
      <w:r>
        <w:rPr>
          <w:rFonts w:ascii="Arial" w:cs="Arial" w:eastAsia="Arial" w:hAnsi="Arial"/>
          <w:b/>
          <w:bCs/>
          <w:sz w:val="22"/>
          <w:szCs w:val="22"/>
        </w:rPr>
        <w:t xml:space="preserve">KLs 4 Js 18.422/26</w:t>
      </w:r>
    </w:p>
    <w:p>
      <w:r>
        <w:rPr>
          <w:rFonts w:ascii="Arial" w:cs="Arial" w:eastAsia="Arial" w:hAnsi="Arial"/>
          <w:sz w:val="22"/>
          <w:szCs w:val="22"/>
        </w:rPr>
        <w:t xml:space="preserve">LG Stuttgart, 4. Große Strafkammer</w:t>
      </w:r>
    </w:p>
    <w:p>
      <w:r>
        <w:rPr>
          <w:rFonts w:ascii="Arial" w:cs="Arial" w:eastAsia="Arial" w:hAnsi="Arial"/>
          <w:sz w:val="22"/>
          <w:szCs w:val="22"/>
        </w:rPr>
        <w:t xml:space="preserve"/>
      </w:r>
    </w:p>
    <w:p>
      <w:pPr>
        <w:pStyle w:val="Heading1"/>
      </w:pPr>
      <w:r>
        <w:rPr>
          <w:rFonts w:ascii="Arial" w:cs="Arial" w:eastAsia="Arial" w:hAnsi="Arial"/>
          <w:b/>
          <w:bCs/>
          <w:sz w:val="26"/>
          <w:szCs w:val="26"/>
        </w:rPr>
        <w:t xml:space="preserve">Beweisantrag auf Feststellung der Unverwertbarkeit der EncroChat/SkyECC-Daten</w:t>
      </w:r>
    </w:p>
    <w:p>
      <w:r>
        <w:rPr>
          <w:rFonts w:ascii="Arial" w:cs="Arial" w:eastAsia="Arial" w:hAnsi="Arial"/>
          <w:sz w:val="22"/>
          <w:szCs w:val="22"/>
        </w:rPr>
        <w:t xml:space="preserve"/>
      </w:r>
    </w:p>
    <w:p>
      <w:r>
        <w:rPr>
          <w:rFonts w:ascii="Arial" w:cs="Arial" w:eastAsia="Arial" w:hAnsi="Arial"/>
          <w:sz w:val="22"/>
          <w:szCs w:val="22"/>
        </w:rPr>
        <w:t xml:space="preserve">Der Verteidiger RA Dr. Magnus Schorlemmer stellt namens und in Vollmacht des Angeklagten Mateusz Korbiel folgenden</w:t>
      </w:r>
    </w:p>
    <w:p>
      <w:r>
        <w:rPr>
          <w:rFonts w:ascii="Arial" w:cs="Arial" w:eastAsia="Arial" w:hAnsi="Arial"/>
          <w:sz w:val="22"/>
          <w:szCs w:val="22"/>
        </w:rPr>
        <w:t xml:space="preserve"/>
      </w:r>
    </w:p>
    <w:p>
      <w:r>
        <w:rPr>
          <w:rFonts w:ascii="Arial" w:cs="Arial" w:eastAsia="Arial" w:hAnsi="Arial"/>
          <w:b/>
          <w:bCs/>
          <w:caps/>
          <w:sz w:val="24"/>
          <w:szCs w:val="24"/>
        </w:rPr>
        <w:t xml:space="preserve">B E W E I S A N T R A G</w:t>
      </w:r>
    </w:p>
    <w:p>
      <w:r>
        <w:rPr>
          <w:rFonts w:ascii="Arial" w:cs="Arial" w:eastAsia="Arial" w:hAnsi="Arial"/>
          <w:sz w:val="22"/>
          <w:szCs w:val="22"/>
        </w:rPr>
        <w:t xml:space="preserve"/>
      </w:r>
    </w:p>
    <w:p>
      <w:r>
        <w:rPr>
          <w:rFonts w:ascii="Arial" w:cs="Arial" w:eastAsia="Arial" w:hAnsi="Arial"/>
          <w:b/>
          <w:bCs/>
          <w:sz w:val="22"/>
          <w:szCs w:val="22"/>
        </w:rPr>
        <w:t xml:space="preserve">I. Beweisbehauptungen</w:t>
      </w:r>
    </w:p>
    <w:p>
      <w:pPr>
        <w:ind w:left="360"/>
      </w:pPr>
      <w:r>
        <w:rPr>
          <w:rFonts w:ascii="Arial" w:cs="Arial" w:eastAsia="Arial" w:hAnsi="Arial"/>
          <w:sz w:val="22"/>
          <w:szCs w:val="22"/>
        </w:rPr>
        <w:t xml:space="preserve">1. Die im Verfahren als 'SkyECC-Nachrichten des Nutzers MK_Koffer' bezeichneten Daten koennen dem Angeklagten Korbiel nicht sicher zugeordnet werden.</w:t>
      </w:r>
    </w:p>
    <w:p>
      <w:pPr>
        <w:ind w:left="360"/>
      </w:pPr>
      <w:r>
        <w:rPr>
          <w:rFonts w:ascii="Arial" w:cs="Arial" w:eastAsia="Arial" w:hAnsi="Arial"/>
          <w:sz w:val="22"/>
          <w:szCs w:val="22"/>
        </w:rPr>
        <w:t xml:space="preserve">2. Die Europaeische Ermittlungsanordnung (EEA) vom 13.04.2020 gemaess § 91a IRG i.V.m. RL 2014/41/EU genuegte nicht den rechtlichen Anforderungen, da die technische Abschoepfung des EncroChat-Servers bereits am 01.04.2020 begann und damit vor Erlass der EEA erfolgte.</w:t>
      </w:r>
    </w:p>
    <w:p>
      <w:pPr>
        <w:ind w:left="360"/>
      </w:pPr>
      <w:r>
        <w:rPr>
          <w:rFonts w:ascii="Arial" w:cs="Arial" w:eastAsia="Arial" w:hAnsi="Arial"/>
          <w:sz w:val="22"/>
          <w:szCs w:val="22"/>
        </w:rPr>
        <w:t xml:space="preserve">3. Die Verwertung der EncroChat/SkyECC-Daten gegen den Angeklagten Korbiel verstoesst gegen Art. 6 Abs. 1 EMRK (Recht auf ein faires Verfahren) und ist unzulaessig.</w:t>
      </w:r>
    </w:p>
    <w:p>
      <w:r>
        <w:rPr>
          <w:rFonts w:ascii="Arial" w:cs="Arial" w:eastAsia="Arial" w:hAnsi="Arial"/>
          <w:sz w:val="22"/>
          <w:szCs w:val="22"/>
        </w:rPr>
        <w:t xml:space="preserve"/>
      </w:r>
    </w:p>
    <w:p>
      <w:r>
        <w:rPr>
          <w:rFonts w:ascii="Arial" w:cs="Arial" w:eastAsia="Arial" w:hAnsi="Arial"/>
          <w:b/>
          <w:bCs/>
          <w:sz w:val="22"/>
          <w:szCs w:val="22"/>
        </w:rPr>
        <w:t xml:space="preserve">II. Beweismittel</w:t>
      </w:r>
    </w:p>
    <w:p>
      <w:r>
        <w:rPr>
          <w:rFonts w:ascii="Arial" w:cs="Arial" w:eastAsia="Arial" w:hAnsi="Arial"/>
          <w:sz w:val="22"/>
          <w:szCs w:val="22"/>
        </w:rPr>
        <w:t xml:space="preserve">Zum Beweis der Tatsachen zu Beweisbehauptung 1 und 2 wird beantragt:</w:t>
      </w:r>
    </w:p>
    <w:p>
      <w:pPr>
        <w:ind w:left="360"/>
      </w:pPr>
      <w:r>
        <w:rPr>
          <w:rFonts w:ascii="Arial" w:cs="Arial" w:eastAsia="Arial" w:hAnsi="Arial"/>
          <w:sz w:val="22"/>
          <w:szCs w:val="22"/>
        </w:rPr>
        <w:t xml:space="preserve">a) Einholung eines Sachverstaendigengutachtens des Dipl.-Inf. Dr. Christoph Eckert, Fraunhofer AISEC München, mit folgenden Beweisfragen:</w:t>
      </w:r>
    </w:p>
    <w:p>
      <w:pPr>
        <w:ind w:left="720"/>
      </w:pPr>
      <w:r>
        <w:rPr>
          <w:rFonts w:ascii="Arial" w:cs="Arial" w:eastAsia="Arial" w:hAnsi="Arial"/>
          <w:sz w:val="22"/>
          <w:szCs w:val="22"/>
        </w:rPr>
        <w:t xml:space="preserve">- Kann ohne Nachweis der IMEI-Nummer des verwendeten Geraets und ohne Vorlage des vollstaendigen Zertifizierungsprotokolls der franzoesischen Serverspiegelung die Nutzeridentitaet 'MK_Koffer' = Korbiel Mateusz sicher zugeordnet werden?</w:t>
      </w:r>
    </w:p>
    <w:p>
      <w:pPr>
        <w:ind w:left="720"/>
      </w:pPr>
      <w:r>
        <w:rPr>
          <w:rFonts w:ascii="Arial" w:cs="Arial" w:eastAsia="Arial" w:hAnsi="Arial"/>
          <w:sz w:val="22"/>
          <w:szCs w:val="22"/>
        </w:rPr>
        <w:t xml:space="preserve">- Welche Sicherheitsmassnahmen wurden bei der Serverabschoepfung getroffen, um die Integritaet der erhobenen Nachrichten zu gewaehrleisten?</w:t>
      </w:r>
    </w:p>
    <w:p>
      <w:pPr>
        <w:ind w:left="360"/>
      </w:pPr>
      <w:r>
        <w:rPr>
          <w:rFonts w:ascii="Arial" w:cs="Arial" w:eastAsia="Arial" w:hAnsi="Arial"/>
          <w:sz w:val="22"/>
          <w:szCs w:val="22"/>
        </w:rPr>
        <w:t xml:space="preserve">b) Vorlage der vollstaendigen Europaeischen Ermittlungsanordnung (EEA) vom 13.04.2020 nebst Begleitunterlagen durch die Staatsanwaltschaft gemaess § 244 Abs. 2 StPO.</w:t>
      </w:r>
    </w:p>
    <w:p>
      <w:r>
        <w:rPr>
          <w:rFonts w:ascii="Arial" w:cs="Arial" w:eastAsia="Arial" w:hAnsi="Arial"/>
          <w:sz w:val="22"/>
          <w:szCs w:val="22"/>
        </w:rPr>
        <w:t xml:space="preserve"/>
      </w:r>
    </w:p>
    <w:p>
      <w:r>
        <w:rPr>
          <w:rFonts w:ascii="Arial" w:cs="Arial" w:eastAsia="Arial" w:hAnsi="Arial"/>
          <w:b/>
          <w:bCs/>
          <w:sz w:val="22"/>
          <w:szCs w:val="22"/>
        </w:rPr>
        <w:t xml:space="preserve">III. Rechtliche Begründung</w:t>
      </w:r>
    </w:p>
    <w:p>
      <w:r>
        <w:rPr>
          <w:rFonts w:ascii="Arial" w:cs="Arial" w:eastAsia="Arial" w:hAnsi="Arial"/>
          <w:sz w:val="22"/>
          <w:szCs w:val="22"/>
        </w:rPr>
        <w:t xml:space="preserve">Der BGH hat mit Urteil vom 02.03.2022 (5 StR 457/21, BGHSt 66, 256) zwar die grundsaetzliche Verwertbarkeit von EncroChat-Daten bejaht. Jedoch hat der BGH ausdrücklich festgehalten, dass die Individualisierung des Nutzers hinreichend sicher belegt sein muss. Dieser Nachweis fehlt vorliegend.</w:t>
      </w:r>
    </w:p>
    <w:p>
      <w:r>
        <w:rPr>
          <w:rFonts w:ascii="Arial" w:cs="Arial" w:eastAsia="Arial" w:hAnsi="Arial"/>
          <w:sz w:val="22"/>
          <w:szCs w:val="22"/>
        </w:rPr>
        <w:t xml:space="preserve"/>
      </w:r>
    </w:p>
    <w:p>
      <w:r>
        <w:rPr>
          <w:rFonts w:ascii="Arial" w:cs="Arial" w:eastAsia="Arial" w:hAnsi="Arial"/>
          <w:sz w:val="22"/>
          <w:szCs w:val="22"/>
        </w:rPr>
        <w:t xml:space="preserve">Der EuGH hat mit Urteil vom 30.04.2024 (C-670/22 — M.N./StA Muenchen I) die Anforderungen an die Individualisierung praezisiert. Das nationale Gericht muss in der Lage sein, die Rechtmaessigkeit der EEA zu ueberpruefen. Dies ist hier nicht moeglich, da die EEA-Unterlagen unter Berufung auf § 96 StPO gesperrt sind.</w:t>
      </w:r>
    </w:p>
    <w:p>
      <w:r>
        <w:rPr>
          <w:rFonts w:ascii="Arial" w:cs="Arial" w:eastAsia="Arial" w:hAnsi="Arial"/>
          <w:sz w:val="22"/>
          <w:szCs w:val="22"/>
        </w:rPr>
        <w:t xml:space="preserve"/>
      </w:r>
    </w:p>
    <w:p>
      <w:r>
        <w:rPr>
          <w:rFonts w:ascii="Arial" w:cs="Arial" w:eastAsia="Arial" w:hAnsi="Arial"/>
          <w:sz w:val="22"/>
          <w:szCs w:val="22"/>
        </w:rPr>
        <w:t xml:space="preserve">Ein Beweisantrag auf Einholung eines Sachverstaendigengutachtens darf gemaess § 244 Abs. 4 S. 1 StPO nur abgelehnt werden, wenn das Gutachten zum Beweis bereits bewiesener Tatsachen dient oder offenkundig ungeeignet ist. Beides ist hier nicht der Fall.</w:t>
      </w:r>
    </w:p>
    <w:p>
      <w:r>
        <w:rPr>
          <w:rFonts w:ascii="Arial" w:cs="Arial" w:eastAsia="Arial" w:hAnsi="Arial"/>
          <w:sz w:val="22"/>
          <w:szCs w:val="22"/>
        </w:rPr>
        <w:t xml:space="preserve"/>
      </w:r>
    </w:p>
    <w:p>
      <w:r>
        <w:rPr>
          <w:rFonts w:ascii="Arial" w:cs="Arial" w:eastAsia="Arial" w:hAnsi="Arial"/>
          <w:i/>
          <w:iCs/>
          <w:sz w:val="22"/>
          <w:szCs w:val="22"/>
        </w:rPr>
        <w:t xml:space="preserve">Unterstuetzt durch: RA Walther Steinbach (fuer Drebenstedt), RA Felix Kraemer (Pflichtv. Iordache)</w:t>
      </w:r>
    </w:p>
    <w:p>
      <w:r>
        <w:rPr>
          <w:rFonts w:ascii="Arial" w:cs="Arial" w:eastAsia="Arial" w:hAnsi="Arial"/>
          <w:sz w:val="22"/>
          <w:szCs w:val="22"/>
        </w:rPr>
        <w:t xml:space="preserve"/>
      </w:r>
    </w:p>
    <w:p>
      <w:r>
        <w:rPr>
          <w:rFonts w:ascii="Arial" w:cs="Arial" w:eastAsia="Arial" w:hAnsi="Arial"/>
          <w:b/>
          <w:bCs/>
          <w:sz w:val="22"/>
          <w:szCs w:val="22"/>
        </w:rPr>
        <w:t xml:space="preserve">RA Dr. Magnus Schorlemmer</w:t>
      </w:r>
    </w:p>
    <w:p>
      <w:r>
        <w:rPr>
          <w:rFonts w:ascii="Arial" w:cs="Arial" w:eastAsia="Arial" w:hAnsi="Arial"/>
          <w:sz w:val="22"/>
          <w:szCs w:val="22"/>
        </w:rPr>
        <w:t xml:space="preserve">Stuttgart, in der Hauptverhandlung</w:t>
      </w:r>
    </w:p>
    <w:p>
      <w:r>
        <w:rPr>
          <w:rFonts w:ascii="Arial" w:cs="Arial" w:eastAsia="Arial" w:hAnsi="Arial"/>
          <w:sz w:val="22"/>
          <w:szCs w:val="22"/>
        </w:rPr>
        <w:t xml:space="preserve"/>
      </w:r>
    </w:p>
    <w:p>
      <w:r>
        <w:rPr>
          <w:rFonts w:ascii="Arial" w:cs="Arial" w:eastAsia="Arial" w:hAnsi="Arial"/>
          <w:i/>
          <w:iCs/>
          <w:color w:val="7A7974"/>
          <w:sz w:val="18"/>
          <w:szCs w:val="18"/>
        </w:rPr>
        <w:t xml:space="preserve">Quellen: BGH 5 StR 457/21 (bundesgerichtshof.de); EuGH C-670/22 (curia.europa.eu); § 244 Abs. 2, Abs. 4 StPO, § 91a IRG (dejure.org); Art. 6 Abs. 1 EMRK.</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2026-05-30T17:28:29.658Z</dcterms:created>
  <dcterms:modified xsi:type="dcterms:W3CDTF">2026-05-30T17:28:29.658Z</dcterms:modified>
</cp:coreProperties>
</file>

<file path=docProps/custom.xml><?xml version="1.0" encoding="utf-8"?>
<Properties xmlns="http://schemas.openxmlformats.org/officeDocument/2006/custom-properties" xmlns:vt="http://schemas.openxmlformats.org/officeDocument/2006/docPropsVTypes"/>
</file>