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An das</w:t>
      </w:r>
    </w:p>
    <w:p>
      <w:r>
        <w:rPr>
          <w:b/>
          <w:bCs/>
        </w:rPr>
        <w:t xml:space="preserve">Amtsgericht Hannover — Familiengericht</w:t>
      </w:r>
    </w:p>
    <w:p>
      <w:r>
        <w:t xml:space="preserve">Volgersweg 65, 30175 Hannover</w:t>
      </w:r>
    </w:p>
    <w:p/>
    <w:p>
      <w:pPr>
        <w:jc w:val="right"/>
      </w:pPr>
      <w:r>
        <w:rPr>
          <w:b w:val="false"/>
          <w:bCs w:val="false"/>
        </w:rPr>
        <w:t xml:space="preserve">Hannover, [Datum offen]</w:t>
      </w:r>
    </w:p>
    <w:p/>
    <w:p>
      <w:r>
        <w:t xml:space="preserve">In der Kindschaftssache betreffend</w:t>
      </w:r>
    </w:p>
    <w:p>
      <w:r>
        <w:rPr>
          <w:b/>
          <w:bCs/>
        </w:rPr>
        <w:t xml:space="preserve">Mara, Jonas und Lina Wagenknecht</w:t>
      </w:r>
    </w:p>
    <w:p/>
    <w:p>
      <w:r>
        <w:t xml:space="preserve">auf Antrag von</w:t>
      </w:r>
    </w:p>
    <w:p>
      <w:r>
        <w:rPr>
          <w:b/>
          <w:bCs/>
        </w:rPr>
        <w:t xml:space="preserve">Vera Wagenknecht (Mutter), Lindener Hofstraße 47, 30449 Hannover-Linden</w:t>
      </w:r>
    </w:p>
    <w:p>
      <w:r>
        <w:t xml:space="preserve">— Antragstellerin —</w:t>
      </w:r>
    </w:p>
    <w:p>
      <w:r>
        <w:t xml:space="preserve">vertreten durch: RAin Sabine Helmstedt, Hannover</w:t>
      </w:r>
    </w:p>
    <w:p/>
    <w:p>
      <w:r>
        <w:t xml:space="preserve">gegen</w:t>
      </w:r>
    </w:p>
    <w:p/>
    <w:p>
      <w:r>
        <w:rPr>
          <w:b/>
          <w:bCs/>
        </w:rPr>
        <w:t xml:space="preserve">Theo Wagenknecht (Vater), Burgweg 38, 30655 Hannover-Bothfeld</w:t>
      </w:r>
    </w:p>
    <w:p>
      <w:r>
        <w:t xml:space="preserve">— Antragsgegner —</w:t>
      </w:r>
    </w:p>
    <w:p/>
    <w:p>
      <w:r>
        <w:rPr>
          <w:b/>
          <w:bCs/>
          <w:i/>
          <w:iCs/>
          <w:color w:val="964219"/>
        </w:rPr>
        <w:t xml:space="preserve">— ENTWURF — NOCH NICHT EINGEREICHT —</w:t>
      </w:r>
    </w:p>
    <w:p/>
    <w:p>
      <w:r>
        <w:rPr>
          <w:b/>
          <w:bCs/>
          <w:u w:val="single"/>
        </w:rPr>
        <w:t xml:space="preserve">beantragen wir im Wege der einstweiligen Anordnung (§ 49 FamFG i.V.m. § 1666 BGB):</w:t>
      </w:r>
    </w:p>
    <w:p/>
    <w:p>
      <w:r>
        <w:t xml:space="preserve">Den Umgang des Antragsgegners mit den gemeinsamen Kindern Mara, Jonas und Lina Wagenknecht bis zur anderweitigen Regelung im Hauptsacheverfahren nur in begleiteter Form zu gestatten, d.h. in Gegenwart einer vom Jugendamt Hannover benannten Fachkraft oder einer anerkannten Beratungsstelle, und zwar im bisherigen Umgangsrhythmus (14-tägig Freitag bis Sonntag) an einem geeigneten neutralen Ort.</w:t>
      </w:r>
    </w:p>
    <w:p/>
    <w:p>
      <w:pPr>
        <w:pStyle w:val="Heading1"/>
      </w:pPr>
      <w:r>
        <w:t xml:space="preserve">Begründung</w:t>
      </w:r>
    </w:p>
    <w:p>
      <w:pPr>
        <w:pStyle w:val="Heading2"/>
      </w:pPr>
      <w:r>
        <w:t xml:space="preserve">I. Sachverhalt</w:t>
      </w:r>
    </w:p>
    <w:p/>
    <w:p>
      <w:r>
        <w:t xml:space="preserve">Am Wochenende des 22./23. Februar 2025 befanden sich alle drei Kinder — Mara (15 J.), Jonas (12 J.) und Lina (9 J.) — im regulären Umgang beim Antragsgegner in dessen Wohnung in Hannover-Bothfeld. Am Samstagabend, 22.02.2025, hat der Antragsgegner nach Darstellung der ältesten Tochter Mara erhebliche Mengen Alkohol konsumiert. Er sei laut und unberechenbar geworden, habe undeutlich gesprochen und sei schließlich auf dem Sofa eingeschlafen. Das jüngste Kind Lina weinte; die älteste Tochter Mara übernahm Verantwortung für die Jüngeren und zog sich mit ihnen in ihr Zimmer zurück.</w:t>
      </w:r>
    </w:p>
    <w:p/>
    <w:p>
      <w:r>
        <w:t xml:space="preserve">Mara hat diesen Vorfall wenige Tage später ihrer Klassenlehrerin Frau Müller-Tessar an der Goetheschule Hannover berichtet. Die Schulpsychologin Frau Rennert-Klein führte am 04. März 2025 ein Gespräch mit Mara und bestätigte den Kernbefund. Das Jugendamt Hannover-Linden (Frau Kowalczyk, ASD) hat die Meldung der Mutter vom 03. März 2025 entgegengenommen und Vera sowie Mara am 20. März 2025 zu einem Gespräch eingeladen.</w:t>
      </w:r>
    </w:p>
    <w:p/>
    <w:p>
      <w:r>
        <w:t xml:space="preserve">Der Antragsgegner hat die Darstellung bestritten. Er hat das für ihn vereinbarte Gespräch beim Jugendamt bereits zweimal verschoben und nimmt am laufenden Cochemer-Beratungsverfahren nicht mehr teil (zweiten Termin abgesagt, kein Rücklauf auf Einladungen).</w:t>
      </w:r>
    </w:p>
    <w:p/>
    <w:p>
      <w:pPr>
        <w:pStyle w:val="Heading2"/>
      </w:pPr>
      <w:r>
        <w:t xml:space="preserve">II. Rechtliche Würdigung</w:t>
      </w:r>
    </w:p>
    <w:p/>
    <w:p>
      <w:r>
        <w:t xml:space="preserve">Gemäß § 1666 Abs. 1 BGB trifft das Familiengericht die zur Abwendung einer Gefährdung des Kindeswohls erforderlichen Maßnahmen, wenn ein Elternteil nicht in der Lage oder nicht bereit ist, die Gefahr abzuwenden. § 1666 Abs. 3 Nr. 4 BGB erlaubt dabei insbesondere das Gebot an einen Elternteil, bei dem Umgang eine Fachkraft beizuziehen (begleiteter Umgang).</w:t>
      </w:r>
    </w:p>
    <w:p/>
    <w:p>
      <w:r>
        <w:t xml:space="preserve">Begleiteter Umgang stellt eine deutlich weniger einschneidende Maßnahme dar als ein Umgangsausschluss. Er wahrt das Recht der Kinder auf Kontakt mit dem Vater (§ 1684 Abs. 1 BGB) und schützt gleichzeitig das Kindeswohl durch strukturierte Rahmenbedingungen.</w:t>
      </w:r>
    </w:p>
    <w:p/>
    <w:p>
      <w:r>
        <w:t xml:space="preserve">Der Antragsgegner zeigt durch seine fehlende Auseinandersetzung mit den Vorwürfen (kein JA-Gespräch, kein Cochemer-Termin) sowie durch seine pauschale Ablehnung der Darstellung der Kinder, dass er nicht willens ist, die Gefahr aus eigener Kraft abzuwenden (§ 1666 Abs. 1 2. Alt. BGB).</w:t>
      </w:r>
    </w:p>
    <w:p/>
    <w:p>
      <w:r>
        <w:t xml:space="preserve">Die einstweilige Anordnung ist nach § 49 Abs. 2 FamFG ohne mündliche Verhandlung zulässig, soweit die sofortige Regelung zur Abwendung der Gefahr erforderlich ist.</w:t>
      </w:r>
    </w:p>
    <w:p/>
    <w:p>
      <w:pPr>
        <w:pStyle w:val="Heading2"/>
      </w:pPr>
      <w:r>
        <w:t xml:space="preserve">III. Beweisangebote</w:t>
      </w:r>
    </w:p>
    <w:p/>
    <w:p>
      <w:r>
        <w:t xml:space="preserve">Zum Sachverhalt wird Beweis angeboten durch:</w:t>
      </w:r>
    </w:p>
    <w:p>
      <w:r>
        <w:t xml:space="preserve">1. Aussage der Klassenlehrerin Frau Müller-Tessar, Goetheschule Hannover.</w:t>
      </w:r>
    </w:p>
    <w:p>
      <w:r>
        <w:t xml:space="preserve">2. Aussage der Schulpsychologin Frau Rennert-Klein, Goetheschule Hannover.</w:t>
      </w:r>
    </w:p>
    <w:p>
      <w:r>
        <w:t xml:space="preserve">3. Aussage der Sachbearbeiterin Jugendamt, Frau Kowalczyk, ASD Hannover-Linden.</w:t>
      </w:r>
    </w:p>
    <w:p>
      <w:r>
        <w:t xml:space="preserve">4. Anhörung Mara Wagenknecht (§ 159 FamFG).</w:t>
      </w:r>
    </w:p>
    <w:p>
      <w:r>
        <w:t xml:space="preserve">5. Stellungnahme Familienberatungsstelle Kompass, Hannover.</w:t>
      </w:r>
    </w:p>
    <w:p/>
    <w:p>
      <w:r>
        <w:t xml:space="preserve">Zur Glaubwürdigkeit der Darstellung Maras: Mara hat unabhängig voneinander gegenüber der Mutter, der Lehrerin und dem Jugendamt gleichlautende Angaben gemacht. Dies spricht für Glaubhaftigkeit.</w:t>
      </w:r>
    </w:p>
    <w:p/>
    <w:p/>
    <w:p>
      <w:r>
        <w:t xml:space="preserve">RAin Sabine Helmstedt</w:t>
      </w:r>
    </w:p>
    <w:p>
      <w:r>
        <w:t xml:space="preserve">(für Klotzkette Rechtsanwaltsgesellschaft mbH)</w:t>
      </w:r>
    </w:p>
    <w:p/>
    <w:p>
      <w:r>
        <w:rPr>
          <w:i/>
          <w:iCs/>
        </w:rPr>
        <w:t xml:space="preserve">ENTWURF — noch nicht eingereicht — Freigabe nach Absprache mit Mandantin erforderlich</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Eilantrag 1666 BGB Entwurf</dc:title>
  <dc:creator>Klotzkette Rechtsanwaltsgesellschaft mbH</dc:creator>
  <cp:lastModifiedBy>Un-named</cp:lastModifiedBy>
  <cp:revision>1</cp:revision>
  <dcterms:created xsi:type="dcterms:W3CDTF">2026-05-30T14:36:33.776Z</dcterms:created>
  <dcterms:modified xsi:type="dcterms:W3CDTF">2026-05-30T14:36:33.776Z</dcterms:modified>
</cp:coreProperties>
</file>

<file path=docProps/custom.xml><?xml version="1.0" encoding="utf-8"?>
<Properties xmlns="http://schemas.openxmlformats.org/officeDocument/2006/custom-properties" xmlns:vt="http://schemas.openxmlformats.org/officeDocument/2006/docPropsVTypes"/>
</file>