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SHARE PURCHASE AGREEMENT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Zwischen: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(1) Reinhard Pellbach-Wittfeldt, Salzwegstrasse 12, 94034 Passau-Hals ("Verkaeufer")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und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(2) Pellbach AcquiCo GmbH, Maximilianstrasse 35, 80539 Muenchen ("Kaeufer")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 </w:t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betreffend den Erwerb saemtlicher Gesellschaftsanteile an der</w:t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Pellbach Werkzeugbau GmbH &amp; Co. KG, HRB 8841, AG Passau</w:t>
      </w:r>
    </w:p>
    <w:p>
      <w:pPr>
        <w:spacing w:after="10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und der Pellbach Verwaltungs-GmbH, HRB 9104, AG Passau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 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Entwurf Version 4 — Stand: 22. April 2026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Beurkundet durch Notar Dr. Friedrich Birkenhainer, Passau, UR-Nr. 188/26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HINWEIS: Dieser SPA ist ein Entwurf und noch nicht rechtsverbindlich.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 </w:t>
      </w:r>
    </w:p>
    <w:p>
      <w:pPr>
        <w:pStyle w:val="Heading1"/>
        <w:spacing w:after="200" w:before="500"/>
      </w:pPr>
      <w:r>
        <w:t xml:space="preserve">Klausel 1: Definitionen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"Abtretungstag" bezeichnet den Tag des Closings.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"AcquiCo" oder "Kaeufer" bezeichnet die Pellbach AcquiCo GmbH, eine nach deutschem Recht errichtete GmbH mit Sitz in Muenchen.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"Annegret" bezeichnet Annegret Pellbach-Roosendaal, geboren am 03. September 1975.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"Bereinigtes EBITDA" bezeichnet das Ergebnis vor Zinsen, Steuern, Abschreibungen und Amortisationen der Pellbach-Gruppe, bereinigt gemaess Schedule 5.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"BKartA" bezeichnet das Bundeskartellamt, Kaiser-Friedrich-Str. 16, 53113 Bonn.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"Closing" bezeichnet den Vollzug der in Klausel 6 vorgesehenen Vollzugshandlungen.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"DBO" bezeichnet die Defined Benefit Obligation nach IFRS 19 in Bezug auf die Pensionszusage des Verkaefers.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"Earn-Out" bezeichnet den in Klausel 12 beschriebenen bedingten Kaufpreisbestandteil.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"Escrow-Betrag" bezeichnet EUR 800.000.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"HGB" bezeichnet das Handelsgesetzbuch in der jeweils geltenden Fassung.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"Leakage" und "Permitted Leakage" haben die in Klausel 4 definierten Bedeutungen.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"Locked-Box-Datum" bezeichnet den 31. Dezember 2024.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"MAC" bezeichnet einen Material Adverse Change gemaess Klausel 11.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"Pellbach-Gruppe" bezeichnet die Pellbach Werkzeugbau GmbH &amp; Co. KG und ihre saemtlichen Tochtergesellschaften.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"SPA" bezeichnet diesen Share Purchase Agreement.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"VDD" bezeichnet den Vendor Due Diligence-Bericht der KPMG Advisory GmbH, Muenchen, vom 03. Maerz 2026.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"W&amp;I-Police" bezeichnet die Warranty &amp; Indemnity-Versicherungspolice der HDI Global SE gemaess Klausel 13.</w:t>
      </w:r>
    </w:p>
    <w:p>
      <w:pPr>
        <w:pStyle w:val="Heading1"/>
        <w:spacing w:after="200" w:before="500"/>
      </w:pPr>
      <w:r>
        <w:t xml:space="preserve">Klausel 2: Verkauf und Abtretung der Anteile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2.1 Vorbehaltlich der Erfuellung der in Klausel 5 genannten Vollzugsbedingungen verkauft und uebertraegt der Verkaeufer hiermit an den Kaeufer: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(a) saemtliche Kommanditanteile des Verkaefers an der Pellbach Werkzeugbau GmbH &amp; Co. KG (HRB 8841, AG Passau) mit einem Nominalwert von 5.000.000 EUR;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(b) 68 % der Geschaeftsanteile des Verkaefers an der Pellbach Verwaltungs-GmbH (HRB 9104, AG Passau) mit einem Nominalwert von 6.800 EUR.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2.2 Die Uebertragung der Kommanditanteile erfolgt gemaess §§ 161 Abs. 2, 105 Abs. 3 HGB mit Zustimmung der Komplementaerin gemaess § 9 Abs. 2 Gesellschaftsvertrag.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2.3 Die Uebertragung der GmbH-Anteile erfolgt in notariell beurkundeter Form gemaess § 15 Abs. 3 GmbHG.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2.4 Die Uebertragung der Anteile erfolgt frei von allen Belastungen, Pfandrechten und sonstigen Rechten Dritter.</w:t>
      </w:r>
    </w:p>
    <w:p>
      <w:pPr>
        <w:pStyle w:val="Heading1"/>
        <w:spacing w:after="200" w:before="500"/>
      </w:pPr>
      <w:r>
        <w:t xml:space="preserve">Klausel 3: Kaufpreis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3.1 Der Basiskaufpreis betraegt EUR 85.000.000 (fuenfundachtzig Millionen Euro).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3.2 Der Basiskaufpreis ist auf das in Schedule 9 angegebene Konto des Verkaefers zum Closing-Datum in unmittelbar verfuegbaren Mitteln zu ueberweisen.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3.3 Der Basiskaufpreis enthaelt keine Kaufpreisanpassung nach dem Locked-Box-Datum (Locked-Box-Mechanismus).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3.4 Zusaetzlich zahlt der Kaeufer den Earn-Out gemaess Klausel 12 (max. EUR 10.000.000), sofern die Earn-Out-Bedingungen erfuellt sind.</w:t>
      </w:r>
    </w:p>
    <w:p>
      <w:pPr>
        <w:pStyle w:val="Heading1"/>
        <w:spacing w:after="200" w:before="500"/>
      </w:pPr>
      <w:r>
        <w:t xml:space="preserve">Klausel 4: Locked-Box und Leakage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4.1 Im Locked-Box-Zeitraum ist Non-Permitted Leakage verboten: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(a) Ausschuettungen an den Verkaeufer oder ihm nahestehende Personen ueber das Permitted Leakage hinaus;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(b) Bestellung von Sicherheiten zugunsten des Verkaefers ohne adaequate Kompensation;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(c) Kapitalmaassnahmen, die zu einer Wertminderung der Anteile fuehren.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4.2 Als Permitted Leakage gelten: Geschaeftsfuehrergehalt Lucas Pellbach (max. EUR 420.000 p.a.); Transaktionskosten; Dividende max. EUR 500.000; laufende Pensionszahlungen Verkaeufer.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4.3 Fuer jeden Euro Non-Permitted Leakage vermindert sich der Basiskaufpreis entsprechend.</w:t>
      </w:r>
    </w:p>
    <w:p>
      <w:pPr>
        <w:pStyle w:val="Heading1"/>
        <w:spacing w:after="200" w:before="500"/>
      </w:pPr>
      <w:r>
        <w:t xml:space="preserve">Klausel 5: Vollzugsbedingungen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5.1 Das Closing steht unter folgenden aufschiebenden Bedingungen: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(a) BKartA-Freigabe ohne wesentliche Auflagen;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(b) Kein MAC seit Signing;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(c) W&amp;I-Police in Kraft;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(d) Betriebsrat-Unterrichtung abgeschlossen;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(e) OT-Security-Audit ohne kritische Schwachstellen abgeschlossen.</w:t>
      </w:r>
    </w:p>
    <w:p>
      <w:pPr>
        <w:pStyle w:val="Heading1"/>
        <w:spacing w:after="200" w:before="500"/>
      </w:pPr>
      <w:r>
        <w:t xml:space="preserve">Klausel 6: Signing und Closing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6.1 Das Signing erfolgt am 15. Mai 2026 vor Notar Dr. Friedrich Birkenhainer, Passau (UR-Nr. 188/26).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6.2 Das Closing findet statt, sobald alle Vollzugsbedingungen gemaess Klausel 5 erfuellt sind, spaetestens am 31. August 2026.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6.3 Am Closing-Tag sind vorzunehmen: Kaufpreiszahlung; Anteilsuebertragung; Escrow-Einzahlung; Unterzeichnung Closing-Protokoll.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6.4 Ist das Closing bis zum Long-Stop-Date nicht erfolgt, ist jede Partei zum Ruecktritt berechtigt.</w:t>
      </w:r>
    </w:p>
    <w:p>
      <w:pPr>
        <w:pStyle w:val="Heading1"/>
        <w:spacing w:after="200" w:before="500"/>
      </w:pPr>
      <w:r>
        <w:t xml:space="preserve">Klausel 7: Garantien des Verkaefers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7.1 Der Verkaeufer gibt die in Schedule 2 niedergelegten Garantien ab.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7.2 Die Verkaeufer-Garantien stehen unter den in Klausel 8 geregelten Einschraenkungen.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7.3 Der Disclosure Letter (Schedule 4) enthaelt Offenlegungen, die bestimmte Garantien qualifizieren.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7.4 Die Garantien sind zu unterscheiden von Freistellungen (Indemnities) gemaess Klausel 14.</w:t>
      </w:r>
    </w:p>
    <w:p>
      <w:pPr>
        <w:pStyle w:val="Heading1"/>
        <w:spacing w:after="200" w:before="500"/>
      </w:pPr>
      <w:r>
        <w:t xml:space="preserve">Klausel 8: Einschraenkungen der Garantiehaftung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8.1 De-Minimis-Grenze: EUR 50.000 je Anspruch.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8.2 Basket (Tipping Basket): EUR 500.000 aggregiert; ab Ueberschreitung haelt der Verkaeufer ab dem ersten Euro.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8.3 General Cap: EUR 10.000.000 fuer allgemeine Garantieansprueche.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8.4 Fundamental Warranties Cap: Basiskaufpreis (EUR 85.000.000).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8.5 Verjaehrungsfristen: Allgemeine Warranties 18 Monate; Tax Warranties 5 Jahre; Fundamental Warranties 7 Jahre ab Closing.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8.6 Primaerer Anspruchsgegner: W&amp;I-Police zuerst; Ansprueche gegen Verkaeufer begrenzt auf Retention und W&amp;I-Ausschluesse.</w:t>
      </w:r>
    </w:p>
    <w:p>
      <w:pPr>
        <w:pStyle w:val="Heading1"/>
        <w:spacing w:after="200" w:before="500"/>
      </w:pPr>
      <w:r>
        <w:t xml:space="preserve">Klausel 9: Garantien des Kaefers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9.1 Der Kaeufer garantiert ordnungsgemaesze Errichtung und gesellschaftsinternen Genehmigungen.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9.2 Der Kaeufer verfuegt zum Closing-Datum ueber ausreichende Mittel (Finanzierungszusagen UniCredit und Triton rechtsverbindlich).</w:t>
      </w:r>
    </w:p>
    <w:p>
      <w:pPr>
        <w:pStyle w:val="Heading1"/>
        <w:spacing w:after="200" w:before="500"/>
      </w:pPr>
      <w:r>
        <w:t xml:space="preserve">Klausel 10: Steuerliche Bestimmungen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10.1 Jede Partei traegt ihre eigenen Transaktionssteuern.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10.2 Tax Indemnity: Verkaeufer stellt Kaeufer von Steuernachforderungen aus der Zeit vor dem Locked-Box-Datum frei, soweit nicht im Disclosure Letter offengelegt.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10.3 Polen-Indemnity gesondert in Klausel 14.3 geregelt.</w:t>
      </w:r>
    </w:p>
    <w:p>
      <w:pPr>
        <w:pStyle w:val="Heading1"/>
        <w:spacing w:after="200" w:before="500"/>
      </w:pPr>
      <w:r>
        <w:t xml:space="preserve">Klausel 11: Material Adverse Change (MAC)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11.1 MAC ist jedes Ereignis mit negativem Effekt &gt; EUR 5.000.000 auf den Enterprise Value der Pellbach-Gruppe.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11.2 Ausgenommen: allgemeine volkswirtschaftliche Entwicklungen; Gesetzesaenderungen; Auswirkungen des Bekanntwerdens der Transaktion.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11.3 China-Spezifischer MAC-Ausloeser: Behoerdliche Anordnung wegen Verstosses gegen VO (EU) 833/2014 in Bezug auf Suzhou-Tochter, die Betrieb fuer &gt; 30 Tage unterbricht und Schaden &gt; EUR 3.000.000 verursacht.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11.4 Heilungsmechanismus: China-MAC gilt als geheilt, wenn sanktionierten Lieferbeziehungen vor Closing beendet und kein Behoerdenverfahren eingeleitet.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11.5 Rechtsfolge: Ruecktrittsrecht Kaeufer; alternativ Kaufpreisminderung bis EUR 4.000.000.</w:t>
      </w:r>
    </w:p>
    <w:p>
      <w:pPr>
        <w:pStyle w:val="Heading1"/>
        <w:spacing w:after="200" w:before="500"/>
      </w:pPr>
      <w:r>
        <w:t xml:space="preserve">Klausel 12: Earn-Out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12.1 Max. Earn-Out: EUR 10.000.000.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12.2 Hurdle: Bereinigtes Gruppen-EBITDA (HGB) GJ 2028 &gt;= EUR 18.000.000 fuer 100 % Earn-Out.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12.3 Threshold: Bereinigtes EBITDA &lt; EUR 16.500.000: kein Earn-Out. Linear dazwischen.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12.4 Stripping-Verbot: Keine Massnahmen, die primaer darauf abzielen, das Bereinigte EBITDA zu reduzieren.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12.5 Earn-Out-Feststellung durch KPMG bis 30.06.2029.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12.6 Streitbeilegung: Unabhaengiger IDW-Schiedsgutachter; Entscheidung bindend.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12.7 Faelligkeit: Binnen 30 Tagen nach Feststellung, spaetestens 30.09.2029.</w:t>
      </w:r>
    </w:p>
    <w:p>
      <w:pPr>
        <w:pStyle w:val="Heading1"/>
        <w:spacing w:after="200" w:before="500"/>
      </w:pPr>
      <w:r>
        <w:t xml:space="preserve">Klausel 13: W&amp;I-Versicherung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13.1 Kaeufer-seitige W&amp;I-Police bei HDI Global SE; Deckungssumme EUR 20.000.000; Retention EUR 530.000.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13.2 Praemienaufteilung: 60 % Kaeufer / 40 % Verkaeufer (EUR 240.000 gesamt).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13.3 Kaeufer primaer gegenueber W&amp;I-Versicherer; Ansprueche gegen Verkaeufer subsidiare.</w:t>
      </w:r>
    </w:p>
    <w:p>
      <w:pPr>
        <w:pStyle w:val="Heading1"/>
        <w:spacing w:after="200" w:before="500"/>
      </w:pPr>
      <w:r>
        <w:t xml:space="preserve">Klausel 14: Indemnities (Freistellungen)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14.1 Pensionsindemnity: Freistellung fuer Deckungsluecke Pensionszusage bis EUR 1.250.000; zuzueglich persoenliche Buergschaft Verkaeufer EUR 250.000.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14.2 Umwelt-Indemnity: Freistellung Sanierungskosten Passau I (Altlast) bis EUR 1.500.000.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14.3 Polen-Indemnity: Freistellung aller Steuernachforderungen Polen-Sachverhalt; Escrow EUR 300.000 fuer 4 Jahre.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14.4 Befristungs-Indemnity: Freistellung Kettenbefristungsrisiken bis EUR 200.000.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14.5 Escrow: EUR 800.000 gesamt (Umwelt EUR 500.000; Polen EUR 300.000) auf Treuhandkonto Commerzbank AG Muenchen.</w:t>
      </w:r>
    </w:p>
    <w:p>
      <w:pPr>
        <w:pStyle w:val="Heading1"/>
        <w:spacing w:after="200" w:before="500"/>
      </w:pPr>
      <w:r>
        <w:t xml:space="preserve">Klausel 15: Wettbewerbsverbot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15.1 Verkaeufer verpflichtet sich, fuer 3 Jahre ab Closing nicht in der Bundesrepublik Deutschland im Bereich Industriewerkzeuge taetig zu sein.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15.2 Ausnahmen: Passive Beteiligungen bis 3 %; Nieszsbrauch Privatimmobilie.</w:t>
      </w:r>
    </w:p>
    <w:p>
      <w:pPr>
        <w:pStyle w:val="Heading1"/>
        <w:spacing w:after="200" w:before="500"/>
      </w:pPr>
      <w:r>
        <w:t xml:space="preserve">Klausel 16: Betriebsrat und § 613a BGB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16.1 Betriebsrat-Unterrichtung: Interessenausgleich gemaess § 111 BetrVG.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16.2 § 613a BGB Deggendorf: Unterrichtungsschreiben an alle betroffenen Mitarbeiter der Rinner GmbH.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16.3 Standortgarantie: Gesonderter Side Letter (nicht Bestandteil dieses SPA).</w:t>
      </w:r>
    </w:p>
    <w:p>
      <w:pPr>
        <w:pStyle w:val="Heading1"/>
        <w:spacing w:after="200" w:before="500"/>
      </w:pPr>
      <w:r>
        <w:t xml:space="preserve">Klausel 17: Kartellrecht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17.1 Anmeldung beim BKartA: Az. B 6-188/26 (eingereicht 02.03.2026).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17.2 Vollzugsverbot gemaess § 41 GWB bis zur Freigabe.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17.3 Kooperationspflicht mit BKartA.</w:t>
      </w:r>
    </w:p>
    <w:p>
      <w:pPr>
        <w:pStyle w:val="Heading1"/>
        <w:spacing w:after="200" w:before="500"/>
      </w:pPr>
      <w:r>
        <w:t xml:space="preserve">Klausel 18: Kosten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18.1 Jede Partei traegt ihre eigenen Beratungskosten.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18.2 Notarkosten je haeelfte.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18.3 Grunderwerbsteuer traegt der Kaeufer.</w:t>
      </w:r>
    </w:p>
    <w:p>
      <w:pPr>
        <w:pStyle w:val="Heading1"/>
        <w:spacing w:after="200" w:before="500"/>
      </w:pPr>
      <w:r>
        <w:t xml:space="preserve">Klausel 19: Vertraulichkeit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19.1 Strenge Vertraulichkeit; keine Weitergabe ohne Zustimmung der anderen Partei.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19.2 Pressemitteilungen nur nach gegenseitiger Abstimmung.</w:t>
      </w:r>
    </w:p>
    <w:p>
      <w:pPr>
        <w:pStyle w:val="Heading1"/>
        <w:spacing w:after="200" w:before="500"/>
      </w:pPr>
      <w:r>
        <w:t xml:space="preserve">Klausel 20: Anwendbares Recht und Schiedsgerichtsbarkeit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20.1 Deutsches Recht anwendbar.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20.2 Schiedsgerichtsbarkeit nach DIS-Regeln; Schiedsort Muenchen; 3 Schiedsrichter.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20.3 Einstweilige Massnahmen vor ordentlichen Gerichten moeglich.</w:t>
      </w:r>
    </w:p>
    <w:p>
      <w:pPr>
        <w:pStyle w:val="Heading1"/>
        <w:spacing w:after="200" w:before="500"/>
      </w:pPr>
      <w:r>
        <w:t xml:space="preserve">Klausel 21: Mitteilungen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21.1 Alle Mitteilungen schriftlich (E-Mail mit Empfangsbestaetigung genuegt).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21.2 An Verkaeufer: z.Hd. RAin Dr. Cornelia Schwingenstein-Eichmueller, Schwingenstein und Partner Rechtsanwaelte mbB, Maximilianstrasse 18, 80539 Muenchen.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21.3 An Kaeufer: z.Hd. RA Dr. Jens Hollweg, Hengeler Mueller, Frankfurt.</w:t>
      </w:r>
    </w:p>
    <w:p>
      <w:pPr>
        <w:pStyle w:val="Heading1"/>
        <w:spacing w:after="200" w:before="500"/>
      </w:pPr>
      <w:r>
        <w:t xml:space="preserve">Klausel 22: Gesamtheit der Vereinbarung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22.1 Dieser SPA (einschliesslich Schedules) stellt die gesamte Vereinbarung der Parteien dar.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22.2 Aenderungen beduerfen der Schriftform.</w:t>
      </w:r>
    </w:p>
    <w:p>
      <w:pPr>
        <w:pStyle w:val="Heading1"/>
        <w:spacing w:after="200" w:before="500"/>
      </w:pPr>
      <w:r>
        <w:t xml:space="preserve">Klausel 23: Trennbarkeit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23.1 Unwirksamkeit einer Bestimmung beruehrt die uebrigen Bestimmungen nicht.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23.2 Parteien verpflichten sich, unwirksame Bestimmungen zu ersetzen.</w:t>
      </w:r>
    </w:p>
    <w:p>
      <w:pPr>
        <w:pStyle w:val="Heading1"/>
        <w:spacing w:after="200" w:before="500"/>
      </w:pPr>
      <w:r>
        <w:t xml:space="preserve">Klausel 24: Abtretungsverbot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24.1 Keine Abtretung ohne schriftliche Zustimmung, ausgenommen Abtretung an Lenders durch Kaeufer.</w:t>
      </w:r>
    </w:p>
    <w:p>
      <w:pPr>
        <w:pStyle w:val="Heading1"/>
        <w:spacing w:after="200" w:before="500"/>
      </w:pPr>
      <w:r>
        <w:t xml:space="preserve">Klausel 25: Keine Aussenswirkung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25.1 Keine Rechte Dritter aus diesem SPA, ausgenommen W&amp;I-Versicherer gemaess Klausel 13.</w:t>
      </w:r>
    </w:p>
    <w:p>
      <w:pPr>
        <w:pStyle w:val="Heading1"/>
        <w:spacing w:after="200" w:before="500"/>
      </w:pPr>
      <w:r>
        <w:t xml:space="preserve">Klausel 26: Schedule 1: Gesellschafterliste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Pellbach Werkzeugbau GmbH &amp; Co. KG (HRB 8841 Passau):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Kommanditist: Reinhard Pellbach-Wittfeldt — Kommanditeinlage EUR 5.000.000 (100 %).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Komplementaerin: Pellbach Verwaltungs-GmbH (HRB 9104 Passau) — ohne Kapitaleinlage.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Pellbach Verwaltungs-GmbH (HRB 9104 Passau):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Reinhard Pellbach-Wittfeldt: 68 % (EUR 6.800).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Annegret Pellbach-Roosendaal: 32 % (EUR 3.200).</w:t>
      </w:r>
    </w:p>
    <w:p>
      <w:pPr>
        <w:pStyle w:val="Heading1"/>
        <w:spacing w:after="200" w:before="500"/>
      </w:pPr>
      <w:r>
        <w:t xml:space="preserve">Klausel 27: Schedule 2: Garantiekatalog (Auszug)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A. Fundamental Warranties: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A.1 Eigentum: Verkaeufer alleiniger Eigentuemer der Anteile; keine Belastungen.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A.2 Wirksamkeit: SPA-Abschluss wirksam; keine weiteren Genehmigungen erforderlich.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B. Business Warranties: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B.1 Jahresabschluesse gemaess HGB korrekt erstellt.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B.2 Kein MAC seit Locked-Box-Datum.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B.3 Compliance mit anwendbarem Recht (Ausnahmen: Disclosure Letter).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B.4 Pensionszusage vollstaendig im Disclosure Letter offengelegt.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C. Tax Warranties: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C.1 Steuererklarungen fristgemaess eingereicht; Steuern entrichtet.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C.2 Kein laufender Steuerstreit ausserhalb Disclosure Letter.</w:t>
      </w:r>
    </w:p>
    <w:p>
      <w:pPr>
        <w:pStyle w:val="Heading1"/>
        <w:spacing w:after="200" w:before="500"/>
      </w:pPr>
      <w:r>
        <w:t xml:space="preserve">Klausel 28: Schedule 3: Permitted Leakage-Liste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1. Managementvergutung Lucas Pellbach bis Closing (max. EUR 420.000 p.a. anteilig).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 Rechts- und Beratungskosten gemaess beigefuegter Kostenliste.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 Dividende aus Jahresueberschuss 2024 max. EUR 500.000.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4. Laufende Pensionszahlungen Verkaeufer EUR 12.500 pro Monat.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5. Carve-Out-Kosten Rinner-Bereich gemaess gesondertem Carve-Out-Vertrag.</w:t>
      </w:r>
    </w:p>
    <w:p>
      <w:pPr>
        <w:pStyle w:val="Heading1"/>
        <w:spacing w:after="200" w:before="500"/>
      </w:pPr>
      <w:r>
        <w:t xml:space="preserve">Klausel 29: Schedule 4: Earn-Out-Bereinigungsregeln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1. Bereinigtes EBITDA = Ergebnis vor Steuern + Zinsergebnis + Abschreibungen + Amortisationen.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2. Add-backs: Transaktionskosten; ausserordentliche Einmalaufwendungen (&gt; EUR 100.000); Managementboni mit Earn-Out-Bezug; Restrukturierungsaufwendungen.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3. Kein Add-back: laufende Instandhaltung; regulaerer Marketingaufwand; normale HR-Kosten.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4. Anti-Stripping: Intercompany-Preise muessen fremdvergleichsgemaess sein.</w:t>
      </w:r>
    </w:p>
    <w:p>
      <w:pPr>
        <w:pStyle w:val="Heading1"/>
        <w:spacing w:after="200" w:before="500"/>
      </w:pPr>
      <w:r>
        <w:t xml:space="preserve">Klausel 30: Schedule 5: Closing-Mechanismus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Ablauf Closing-Tag (geplant 30. Juni 2026):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08:00 Eingang BKartA-Freigabe; Pruefung auf Auflagen.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09:00 Telefonkonferenz; Go/No-Go Closing.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10:00 Closing-Meeting Notar Dr. Birkenhainer, Passau.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10:15 Unterzeichnung Closing-Protokoll.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10:30 Ueberweisung EUR 85.000.000 an Verkaeufer.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10:45 Einzahlung Escrow EUR 800.000 auf Treuhandkonto Commerzbank AG Muenchen.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11:00 Handelsregisteranmeldung Kommanditistenwechsel (HRA 8841 Passau).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11:30 Freigabe Pressemitteilung.</w:t>
      </w:r>
    </w:p>
    <w:p>
      <w:pPr>
        <w:spacing w:after="100"/>
      </w:pPr>
      <w:r>
        <w:rPr>
          <w:rFonts w:ascii="Calibri" w:cs="Calibri" w:eastAsia="Calibri" w:hAnsi="Calibri"/>
          <w:sz w:val="21"/>
          <w:szCs w:val="21"/>
        </w:rPr>
        <w:t xml:space="preserve">Nachpflichten (binnen 30 Tagen): Ummeldung Bankkonten; Aktualisierung Vollmachten; Unterrichtung Vertragspartner.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Share Purchase Agreement Pellbach Werkzeugbau - Entwurf v4</dc:title>
  <dc:creator>Schwingenstein und Partner Rechtsanwaelte mbB</dc:creator>
  <cp:lastModifiedBy>Un-named</cp:lastModifiedBy>
  <cp:revision>1</cp:revision>
  <dcterms:created xsi:type="dcterms:W3CDTF">2026-05-30T20:19:58.630Z</dcterms:created>
  <dcterms:modified xsi:type="dcterms:W3CDTF">2026-05-30T20:19:58.630Z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