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DROSSELBERG &amp; PARTNER INSOLVENZRECHT</w:t>
      </w:r>
    </w:p>
    <w:p>
      <w:pPr>
        <w:spacing w:after="600"/>
        <w:jc w:val="center"/>
      </w:pPr>
      <w:r>
        <w:rPr>
          <w:color w:val="7A7974"/>
          <w:sz w:val="20"/>
          <w:szCs w:val="20"/>
        </w:rPr>
        <w:t xml:space="preserve">Juri-Gagarin-Ring 55 | 99084 Erfurt | Tel.: 0361/430 87-0</w:t>
      </w:r>
    </w:p>
    <w:p>
      <w:pPr>
        <w:spacing w:after="600"/>
      </w:pPr>
      <w:r>
        <w:t xml:space="preserve">An das
Landgericht Erfurt
– Zivilkammer –
Friedrich-Engels-Straße 50
99085 Erfurt</w:t>
      </w:r>
    </w:p>
    <w:p>
      <w:pPr>
        <w:spacing w:after="400"/>
        <w:jc w:val="right"/>
      </w:pPr>
      <w:r>
        <w:rPr>
          <w:i/>
          <w:iCs/>
        </w:rPr>
        <w:t xml:space="preserve">Erfurt, 15. Juli 2026</w:t>
      </w:r>
    </w:p>
    <w:p>
      <w:pPr>
        <w:spacing w:after="200"/>
      </w:pPr>
      <w:r>
        <w:rPr>
          <w:b/>
          <w:bCs/>
        </w:rPr>
        <w:t xml:space="preserve">Aktenzeichen: 3 O 116/26</w:t>
      </w:r>
    </w:p>
    <w:p>
      <w:pPr>
        <w:spacing w:after="600"/>
      </w:pPr>
      <w:r>
        <w:t xml:space="preserve">Kläger: Dr. Henrik Sonnenschein, als vorläufiger Sachwalter / Insolvenzverwalter im Schutzschirmverfahren 203 IN 71/26 SA, handelnd für die Insolvenzmasse der Großbach Druckguss &amp; Präzision GmbH &amp; Co. KG
– Kläger –
Beklagter: Friedhelm Großbach, Buchenweg 7, 99094 Erfurt
– Beklagter –</w:t>
      </w:r>
    </w:p>
    <w:p>
      <w:pPr>
        <w:pStyle w:val="Heading2"/>
        <w:spacing w:after="200"/>
        <w:jc w:val="center"/>
      </w:pPr>
      <w:r>
        <w:t xml:space="preserve">ANFECHTUNGSKLAGE</w:t>
      </w:r>
    </w:p>
    <w:p>
      <w:pPr>
        <w:spacing w:after="600"/>
        <w:jc w:val="center"/>
      </w:pPr>
      <w:r>
        <w:rPr>
          <w:i/>
          <w:iCs/>
        </w:rPr>
        <w:t xml:space="preserve">gemäß §§ 129, 133 Abs. 1, 135 Abs. 1 Nr. 2 InsO</w:t>
      </w:r>
    </w:p>
    <w:p>
      <w:pPr>
        <w:pStyle w:val="Heading3"/>
        <w:spacing w:after="200"/>
      </w:pPr>
      <w:r>
        <w:t xml:space="preserve">I. Antrag</w:t>
      </w:r>
    </w:p>
    <w:p>
      <w:pPr>
        <w:spacing w:after="400"/>
      </w:pPr>
      <w:r>
        <w:t xml:space="preserve">Der Kläger beantragt: Der Beklagte wird verurteilt, an den Kläger EUR 380.000,00 (in Worten: dreihundertachtzigtausend Euro) nebst Zinsen in Höhe von 5 Prozentpunkten über dem Basiszinssatz seit dem 18. Januar 2026 zu zahlen.</w:t>
      </w:r>
    </w:p>
    <w:p>
      <w:pPr>
        <w:pStyle w:val="Heading3"/>
        <w:spacing w:after="200"/>
      </w:pPr>
      <w:r>
        <w:t xml:space="preserve">II. Sachverhalt</w:t>
      </w:r>
    </w:p>
    <w:p>
      <w:pPr>
        <w:spacing w:after="400"/>
      </w:pPr>
      <w:r>
        <w:t xml:space="preserve">Der Beklagte Friedhelm Großbach ist Kommanditist der Schuldnerin sowie bis zum Jahr 2022 alleiniger Geschäftsführer der Komplementär-GmbH. Am 4. September 2020 gewährte der Beklagte der Schuldnerin ein Darlehen in Höhe von EUR 600.000,00 (Darlehensvertrag, Anlage K 1). Dieses Darlehen wäre vertraglich zum 31. Dezember 2025 zurückzuzahlen gewesen. Tatsächlich wurde am 18. Januar 2026 ein Teilbetrag von EUR 380.000,00 durch die Schuldnerin an den Beklagten überwiesen (Kontoauszug Sparkasse Mittelthüringen, Anlage K 2). Zu diesem Zeitpunkt war die Schuldnerin bereits drohend zahlungsunfähig, wie sich aus der beigefügten Liquiditätsanalyse ergibt (Anlage K 3). Der Schutzschirmantrag wurde am 5. Mai 2026 gestellt.</w:t>
      </w:r>
    </w:p>
    <w:p>
      <w:pPr>
        <w:pStyle w:val="Heading3"/>
        <w:spacing w:after="200"/>
      </w:pPr>
      <w:r>
        <w:t xml:space="preserve">III. Rechtliche Würdigung</w:t>
      </w:r>
    </w:p>
    <w:p>
      <w:pPr>
        <w:spacing w:after="400"/>
      </w:pPr>
      <w:r>
        <w:t xml:space="preserve">1. Die Rückzahlung ist anfechtbar gemäß § 135 Abs. 1 Nr. 2 InsO, da sie innerhalb der 12-Monats-Frist vor Insolvenzantragstellung erfolgte und es sich um eine Befriedigung einer Gesellschafterdarlehens-Forderung handelt. Dies ist ein objektiver Anfechtungstatbestand ohne Erfordernis subjektiver Voraussetzungen.
2. Hilfsweise ist die Rückzahlung anfechtbar gemäß § 133 Abs. 1 InsO (Vorsatzanfechtung). Der Beklagte kannte als Kommanditist und früherer Allein-Geschäftsführer die wirtschaftliche Krisensituation der Schuldnerin. Er handelte mit dem Wissen, dass die Rückzahlung die übrigen Gläubiger benachteiligen würde (dolus eventualis).</w:t>
      </w:r>
    </w:p>
    <w:p>
      <w:pPr>
        <w:pStyle w:val="Heading3"/>
        <w:spacing w:after="200"/>
      </w:pPr>
      <w:r>
        <w:t xml:space="preserve">IV. Anlagen</w:t>
      </w:r>
    </w:p>
    <w:p>
      <w:pPr>
        <w:spacing w:after="150"/>
        <w:ind w:left="720"/>
      </w:pPr>
      <w:r>
        <w:t xml:space="preserve">K 1: Darlehensvertrag vom 04. September 2020</w:t>
      </w:r>
    </w:p>
    <w:p>
      <w:pPr>
        <w:spacing w:after="150"/>
        <w:ind w:left="720"/>
      </w:pPr>
      <w:r>
        <w:t xml:space="preserve">K 2: Kontoauszug Sparkasse Mittelthüringen vom 18. Januar 2026</w:t>
      </w:r>
    </w:p>
    <w:p>
      <w:pPr>
        <w:spacing w:after="150"/>
        <w:ind w:left="720"/>
      </w:pPr>
      <w:r>
        <w:t xml:space="preserve">K 3: Liquiditätsanalyse (Auszug) per Januar 2026</w:t>
      </w:r>
    </w:p>
    <w:p>
      <w:pPr>
        <w:spacing w:after="150"/>
        <w:ind w:left="720"/>
      </w:pPr>
      <w:r>
        <w:t xml:space="preserve">K 4: Handelsregisterauszug Großbach Druckguss HRA 4471</w:t>
      </w:r>
    </w:p>
    <w:p>
      <w:pPr>
        <w:spacing w:after="150"/>
        <w:ind w:left="720"/>
      </w:pPr>
      <w:r>
        <w:t xml:space="preserve">K 5: Vollmacht Sachwalter Dr. Sonnenschein</w:t>
      </w:r>
    </w:p>
    <w:p>
      <w:pPr>
        <w:spacing w:after="400" w:before="400"/>
      </w:pPr>
      <w:r>
        <w:rPr>
          <w:i/>
          <w:iCs/>
        </w:rPr>
        <w:t xml:space="preserve">Streitwert: EUR 403.750,00 (Hauptforderung EUR 380.000,00 zzgl. Zinsen EUR 23.750,00)</w:t>
      </w:r>
    </w:p>
    <w:p>
      <w:pPr>
        <w:spacing w:before="600"/>
      </w:pPr>
      <w:r>
        <w:rPr>
          <w:b/>
          <w:bCs/>
        </w:rPr>
        <w:t xml:space="preserve">RA Dr. Maximilian Drosselberg</w:t>
      </w:r>
    </w:p>
    <w:p>
      <w:r>
        <w:t xml:space="preserve">Drosselberg &amp; Partner Insolvenzrecht, Erfurt</w:t>
      </w:r>
    </w:p>
    <w:p>
      <w:pPr>
        <w:spacing w:before="400"/>
      </w:pPr>
      <w:r>
        <w:rPr>
          <w:color w:val="7A7974"/>
          <w:sz w:val="18"/>
          <w:szCs w:val="18"/>
        </w:rPr>
        <w:t xml:space="preserve">Rechtsgrundlagen: § 133 InsO (https://dejure.org/gesetze/InsO/133.html), § 135 InsO (https://dejure.org/gesetze/InsO/135.html), BGH IX ZR 159/06 (https://www.bundesgerichtshof.de/SharedDocs/Entscheidungen/DE/2009/08/ZR/IX-ZR-159-06.html)</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Anfechtungsklage – Insolvenzverwalter ./. Friedhelm Großbach – 3 O 116/26 LG Erfurt</dc:title>
  <dc:creator>Drosselberg &amp; Partner Insolvenzrecht</dc:creator>
  <cp:lastModifiedBy>Un-named</cp:lastModifiedBy>
  <cp:revision>1</cp:revision>
  <dcterms:created xsi:type="dcterms:W3CDTF">2026-05-30T15:57:59.140Z</dcterms:created>
  <dcterms:modified xsi:type="dcterms:W3CDTF">2026-05-30T15:57:59.140Z</dcterms:modified>
</cp:coreProperties>
</file>

<file path=docProps/custom.xml><?xml version="1.0" encoding="utf-8"?>
<Properties xmlns="http://schemas.openxmlformats.org/officeDocument/2006/custom-properties" xmlns:vt="http://schemas.openxmlformats.org/officeDocument/2006/docPropsVTypes"/>
</file>