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BEWÄHRUNGSANTRAG</w:t>
      </w:r>
    </w:p>
    <w:p>
      <w:pPr>
        <w:jc w:val="center"/>
      </w:pPr>
      <w:r>
        <w:t xml:space="preserve">gemäß § 56 Abs. 1 und 2 StGB</w:t>
      </w:r>
    </w:p>
    <w:p/>
    <w:p>
      <w:pPr>
        <w:jc w:val="center"/>
      </w:pPr>
      <w:r>
        <w:rPr>
          <w:b/>
          <w:bCs/>
        </w:rPr>
        <w:t xml:space="preserve">An die 5. Große Strafkammer des LG Frankfurt am Main</w:t>
      </w:r>
    </w:p>
    <w:p>
      <w:pPr>
        <w:jc w:val="center"/>
      </w:pPr>
      <w:r>
        <w:t xml:space="preserve">AZ: 5-22 KLs 188/26 | Datum: 18. April 2026</w:t>
      </w:r>
    </w:p>
    <w:p/>
    <w:p>
      <w:pPr>
        <w:pStyle w:val="Heading1"/>
      </w:pPr>
      <w:r>
        <w:t xml:space="preserve">I. Antragstellung</w:t>
      </w:r>
    </w:p>
    <w:p>
      <w:r>
        <w:t xml:space="preserve">Die Verteidigung beantragt für den Angeklagten Konrad Bankert die Aussetzung der zu erwartenden Freiheitsstrafe zur Bewährung gemäß § 56 Abs. 1 und 2 StGB.</w:t>
      </w:r>
    </w:p>
    <w:p/>
    <w:p>
      <w:pPr>
        <w:pStyle w:val="Heading1"/>
      </w:pPr>
      <w:r>
        <w:t xml:space="preserve">II. Sozialprognose (§ 56 Abs. 1 StGB)</w:t>
      </w:r>
    </w:p>
    <w:p>
      <w:r>
        <w:t xml:space="preserve">Der Angeklagte Bankert (54) ist Ersttäter ohne jede Vorstrafe (BZR-Auszug 05.02.2026: keine Eintragungen). Das psychiatrische Gutachten von Dr. Isabel Haesler (Frankfurt, 01.04.2026) bestätigt eine günstige Sozialprognose: keine Persönlichkeitsstörung, geringe Rückfallgefahr, Bewährungseignung bejaht. Bankert hat in der Hauptverhandlung echte Reue und Bereitschaft zur Normanerkennung gezeigt. Die strukturellen Rahmenbedingungen der Tat (Prokuristen-Stellung, Zugangsmöglichkeiten) sind dauerhaft entfallen.</w:t>
      </w:r>
    </w:p>
    <w:p/>
    <w:p>
      <w:pPr>
        <w:pStyle w:val="Heading1"/>
      </w:pPr>
      <w:r>
        <w:t xml:space="preserve">III. Besondere Umstände (§ 56 Abs. 2 StGB)</w:t>
      </w:r>
    </w:p>
    <w:p>
      <w:r>
        <w:t xml:space="preserve">1. Schadenswiedergutmachung nach § 46a StGB: Die Zahlung von 4,2 Mio. EUR stellt einen hervorgehobenen Umstand dar, der die Bewährungsgewährung rechtfertigt (BGH NJW 2015, 84).</w:t>
      </w:r>
    </w:p>
    <w:p/>
    <w:p>
      <w:r>
        <w:t xml:space="preserve">2. Lebensbedrohliche Erkrankung der Ehefrau: Sandra Bankert (52) leidet an dilatativer Kardiomyopathie (Dringlichkeitsstufe T-HU, Transplantationswarteliste UKF). Ihre Pflege und Begleitung durch den Angeklagten ist bei Inhaftierung nicht sichergestellt. Dies stellt eine außergewöhnliche Härte dar (BGH NStZ-RR 2016, 204).</w:t>
      </w:r>
    </w:p>
    <w:p/>
    <w:p>
      <w:r>
        <w:t xml:space="preserve">3. Vollständige Vorstrafenfreiheit über 54 Jahre (BGH NJW 2020, 2573: gewichtiger Milderungsgrund).</w:t>
      </w:r>
    </w:p>
    <w:p/>
    <w:p>
      <w:r>
        <w:t xml:space="preserve">4. Vollumfängliches Geständnis vor Ermittlungsbeginn belegt Normanerkennung.</w:t>
      </w:r>
    </w:p>
    <w:p/>
    <w:p>
      <w:pPr>
        <w:pStyle w:val="Heading1"/>
      </w:pPr>
      <w:r>
        <w:t xml:space="preserve">IV. § 56 Abs. 3 StGB — Keine Notwendigkeit der Vollstreckung</w:t>
      </w:r>
    </w:p>
    <w:p>
      <w:r>
        <w:t xml:space="preserve">Die Vollstreckung ist zur Verteidigung der Rechtsordnung nicht unerlässlich. Die erhebliche Schadenswiedergutmachung (4,2 Mio. EUR) demonstriert Verantwortungsübernahme. Das allgemeine Rechtsempfinden ist durch eine Bewährungsstrafe kombiniert mit erheblichen Auflagen nicht verletzt.</w:t>
      </w:r>
    </w:p>
    <w:p/>
    <w:p>
      <w:pPr>
        <w:pStyle w:val="Heading1"/>
      </w:pPr>
      <w:r>
        <w:t xml:space="preserve">V. Bewährungsauflagen (Angebot)</w:t>
      </w:r>
    </w:p>
    <w:p>
      <w:r>
        <w:t xml:space="preserve">1. Monatliche Schadensersatzrate 2.000 EUR an Müller &amp; Schmitt Treuhand GmbH (60 Monate = 120.000 EUR).</w:t>
      </w:r>
    </w:p>
    <w:p>
      <w:r>
        <w:t xml:space="preserve">2. Bewährungshelfer nach Wahl des Gerichts; Meldepflicht monatlich.</w:t>
      </w:r>
    </w:p>
    <w:p>
      <w:r>
        <w:t xml:space="preserve">3. Freiwilliges Berufsverbot im Treuhand- und Finanzdienstleistungsbereich.</w:t>
      </w:r>
    </w:p>
    <w:p/>
    <w:p>
      <w:r>
        <w:rPr>
          <w:i/>
          <w:iCs/>
        </w:rPr>
        <w:t xml:space="preserve">Prof. Dr. Henrike Wittfeldt-Steinheim, Frankfurt am Main, 18. April 2026</w:t>
      </w:r>
    </w:p>
    <w:p/>
    <w:p>
      <w:r>
        <w:t xml:space="preserve">Quellen: § 56 StGB: https://dejure.org/gesetze/StGB/56.html | § 46a StGB: https://dejure.org/gesetze/StGB/46a.html | BGH: https://www.bundesgerichtshof.de/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Bewährungsantrag § 56 StGB</dc:title>
  <dc:creator>Prof. Dr. Henrike Wittfeldt-Steinheim</dc:creator>
  <cp:lastModifiedBy>Un-named</cp:lastModifiedBy>
  <cp:revision>1</cp:revision>
  <dcterms:created xsi:type="dcterms:W3CDTF">2026-05-30T20:48:58.291Z</dcterms:created>
  <dcterms:modified xsi:type="dcterms:W3CDTF">2026-05-30T20:48:58.291Z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