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REVISIONSBEGRÜNDUNGSSCHRIFT</w:t>
      </w:r>
    </w:p>
    <w:p/>
    <w:p>
      <w:pPr>
        <w:jc w:val="center"/>
      </w:pPr>
      <w:r>
        <w:rPr>
          <w:b/>
          <w:bCs/>
        </w:rPr>
        <w:t xml:space="preserve">An den Bundesgerichtshof, 5. Strafsenat</w:t>
      </w:r>
    </w:p>
    <w:p>
      <w:pPr>
        <w:jc w:val="center"/>
      </w:pPr>
      <w:r>
        <w:t xml:space="preserve">BGH-Aktenzeichen: 5 StR 2188/26</w:t>
      </w:r>
    </w:p>
    <w:p>
      <w:pPr>
        <w:jc w:val="center"/>
      </w:pPr>
      <w:r>
        <w:t xml:space="preserve">Vorinstanz: LG Frankfurt 5-22 KLs 188/26</w:t>
      </w:r>
    </w:p>
    <w:p>
      <w:pPr>
        <w:jc w:val="center"/>
      </w:pPr>
      <w:r>
        <w:t xml:space="preserve">Datum: 26. Mai 2026</w:t>
      </w:r>
    </w:p>
    <w:p/>
    <w:p>
      <w:pPr>
        <w:pStyle w:val="Heading1"/>
      </w:pPr>
      <w:r>
        <w:t xml:space="preserve">I. Gegenstand der Revision</w:t>
      </w:r>
    </w:p>
    <w:p>
      <w:r>
        <w:t xml:space="preserve">Die Revision richtet sich gegen den Strafausspruch des Urteils des Landgerichts Frankfurt am Main vom 21. April 2026 (3 J 2 M, keine Bewährung). Der Schuldspruch wird nicht angefochten. Die Revision stützt sich auf Verletzung materiellen Rechts (§ 337 Abs. 1 StPO).</w:t>
      </w:r>
    </w:p>
    <w:p/>
    <w:p>
      <w:pPr>
        <w:pStyle w:val="Heading1"/>
      </w:pPr>
      <w:r>
        <w:t xml:space="preserve">II. Revisionsrüge 1 — § 46a StGB fehlerhaft abgelehnt</w:t>
      </w:r>
    </w:p>
    <w:p>
      <w:r>
        <w:t xml:space="preserve">Das LG hat die Strafrahmenverschiebung nach § 46a StGB i.V.m. § 49 Abs. 1 StGB mit der Begründung abgelehnt, die Wiedergutmachung von 4,2 Mio. EUR stelle bei einem Gesamtschaden von 9 Mio. EUR keinen 'erheblichen Teil' dar, 'da mehr als die Hälfte des Schadens unausgeglichen geblieben ist'.</w:t>
      </w:r>
    </w:p>
    <w:p/>
    <w:p>
      <w:r>
        <w:t xml:space="preserve">Diese starre 50-Prozent-Grenze findet keine Grundlage in Gesetz oder BGH-Rechtsprechung. Der BGH hat in BGH 1 StR 112/20 bei vergleichbarem Sachverhalt die § 46a-Milderung bei vollständiger persönlicher Opferbereitschaft des Täters angewandt, ohne einen Mindestprozentsatz vorzuschreiben. Die Entscheidung des LG verletzt § 46a StGB.</w:t>
      </w:r>
    </w:p>
    <w:p/>
    <w:p>
      <w:pPr>
        <w:pStyle w:val="Heading1"/>
      </w:pPr>
      <w:r>
        <w:t xml:space="preserve">III. Revisionsrüge 2 — Spielraum-Bestimmung unzureichend begründet</w:t>
      </w:r>
    </w:p>
    <w:p>
      <w:r>
        <w:t xml:space="preserve">Das LG bezeichnet die Strafe als 'im unteren Drittel des schuldangemessenen Bereichs', ohne Ober- und Untergrenze des Spielraums anzugeben und ohne die belastenden und mildernden Umstände konkret gegenüberzustellen. Dies verletzt § 267 Abs. 3 StPO und die aus BGHSt 7, 28 folgende Begründungspflicht zur Spielraum-Theorie.</w:t>
      </w:r>
    </w:p>
    <w:p/>
    <w:p>
      <w:pPr>
        <w:pStyle w:val="Heading1"/>
      </w:pPr>
      <w:r>
        <w:t xml:space="preserve">IV. Revisionsrüge 3 — Bewährungsversagung fehlerhaft</w:t>
      </w:r>
    </w:p>
    <w:p>
      <w:r>
        <w:t xml:space="preserve">Das LG hat die Bewährungsversagung auf § 56 Abs. 3 StGB ('Verteidigung der Rechtsordnung') gestützt, ohne ausreichend zu prüfen, ob die Vollstreckung angesichts der erheblichen Wiedergutmachung tatsächlich unerlässlich ist. Der BGH fordert eine restriktive Anwendung des § 56 Abs. 3 StGB (BGH NStZ 2021, 375), der das LG nicht gerecht wird.</w:t>
      </w:r>
    </w:p>
    <w:p/>
    <w:p>
      <w:pPr>
        <w:pStyle w:val="Heading1"/>
      </w:pPr>
      <w:r>
        <w:t xml:space="preserve">V. Antrag</w:t>
      </w:r>
    </w:p>
    <w:p>
      <w:r>
        <w:rPr>
          <w:b/>
          <w:bCs/>
        </w:rPr>
        <w:t xml:space="preserve">Das Urteil des LG Frankfurt vom 21. April 2026 wird im Strafausspruch aufgehoben und zur erneuten Verhandlung und Entscheidung an eine andere Strafkammer des LG Frankfurt zurückverwiesen.</w:t>
      </w:r>
    </w:p>
    <w:p/>
    <w:p>
      <w:r>
        <w:t xml:space="preserve">Prof. Dr. Henrike Wittfeldt-Steinheim, Rechtsanwältin, Frankfurt am Main, 26. Mai 2026</w:t>
      </w:r>
    </w:p>
    <w:p/>
    <w:p>
      <w:r>
        <w:t xml:space="preserve">Quellen: § 337 StPO: https://dejure.org/gesetze/StPO/337.html | § 46a StGB: https://dejure.org/gesetze/StGB/46a.html | § 56 StGB: https://dejure.org/gesetze/StGB/56.html | BGH: https://www.bundesgerichtshof.de/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Revisionsbegründung BGH Strafzumessung</dc:title>
  <dc:creator>Prof. Dr. Henrike Wittfeldt-Steinheim</dc:creator>
  <cp:lastModifiedBy>Un-named</cp:lastModifiedBy>
  <cp:revision>1</cp:revision>
  <dcterms:created xsi:type="dcterms:W3CDTF">2026-05-30T20:48:58.290Z</dcterms:created>
  <dcterms:modified xsi:type="dcterms:W3CDTF">2026-05-30T20:48:58.290Z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