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00" w:before="200"/>
      </w:pPr>
      <w:r>
        <w:t xml:space="preserve">Feedback-Handout — Nachbesprechung Fall 14</w:t>
      </w:r>
    </w:p>
    <w:p>
      <w:pPr>
        <w:spacing w:after="80" w:before="80"/>
      </w:pPr>
      <w:r>
        <w:t xml:space="preserve">Übung für Fortgeschrittene SS 2026 | Lehrstuhl Prof. Dr. Eve Pohlmann-Wittfeldt</w:t>
      </w:r>
    </w:p>
    <w:p>
      <w:pPr>
        <w:spacing w:after="80" w:before="80"/>
      </w:pPr>
      <w:r>
        <w:t xml:space="preserve">Nachbesprechung: 25. Juni 2026, HS 13, Universität Bielefeld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Die fünf häufigsten Fehlertypen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Nr.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Fehlertyp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Häufigkeit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Beispiel</w:t>
            </w: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FT1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Falsche Anspruchsgrundlage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4 von 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§§ 946/947 statt § 929 BGB</w:t>
            </w: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FT2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Streitstand übersehen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4 von 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§ 134 BGB ohne Meinungsstand</w:t>
            </w: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FT3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Tatbestandsmerkmal fehlt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5 von 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§ 387 BGB: Fälligkeit ausgelassen</w:t>
            </w: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FT4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Zirkelschluss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1 von 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Wirksamkeit mit Wirksamkeit begründet</w:t>
            </w: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FT5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Feststellungsstil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2 von 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"Anspruch besteht." ohne Prüfung</w:t>
            </w:r>
          </w:p>
        </w:tc>
      </w:tr>
    </w:tbl>
    <w:p>
      <w:pPr>
        <w:spacing w:after="80" w:before="80"/>
      </w:pPr>
    </w:p>
    <w:p>
      <w:pPr>
        <w:pStyle w:val="Heading1"/>
        <w:spacing w:after="100" w:before="200"/>
      </w:pPr>
      <w:r>
        <w:t xml:space="preserve">Gutachtenstil — Kurzschema</w:t>
      </w:r>
    </w:p>
    <w:p>
      <w:pPr>
        <w:spacing w:after="80" w:before="80"/>
      </w:pPr>
      <w:r>
        <w:rPr>
          <w:b/>
          <w:bCs/>
        </w:rPr>
        <w:t xml:space="preserve">Schema:</w:t>
      </w:r>
    </w:p>
    <w:p>
      <w:pPr>
        <w:spacing w:after="80" w:before="80"/>
      </w:pPr>
      <w:r>
        <w:t xml:space="preserve">1. Obersatz: "[X] könnte gegen [Y] einen Anspruch auf [...] haben, wenn [Voraussetzungen]."</w:t>
      </w:r>
    </w:p>
    <w:p>
      <w:pPr>
        <w:spacing w:after="80" w:before="80"/>
      </w:pPr>
      <w:r>
        <w:t xml:space="preserve">2. Voraussetzungen benennen.</w:t>
      </w:r>
    </w:p>
    <w:p>
      <w:pPr>
        <w:spacing w:after="80" w:before="80"/>
      </w:pPr>
      <w:r>
        <w:t xml:space="preserve">3. Subsumtion: "Im vorliegenden Fall [...]."</w:t>
      </w:r>
    </w:p>
    <w:p>
      <w:pPr>
        <w:spacing w:after="80" w:before="80"/>
      </w:pPr>
      <w:r>
        <w:t xml:space="preserve">4. Ergebnis: "[X] hat / hat keinen Anspruch."</w:t>
      </w:r>
    </w:p>
    <w:p>
      <w:pPr>
        <w:pStyle w:val="Heading1"/>
        <w:spacing w:after="100" w:before="200"/>
      </w:pPr>
      <w:r>
        <w:t xml:space="preserve">Streitstandschema</w:t>
      </w:r>
    </w:p>
    <w:p>
      <w:pPr>
        <w:spacing w:after="80" w:before="80"/>
      </w:pPr>
      <w:r>
        <w:t xml:space="preserve">1. "Ob [Rechtsfrage], ist umstritten."</w:t>
      </w:r>
    </w:p>
    <w:p>
      <w:pPr>
        <w:spacing w:after="80" w:before="80"/>
      </w:pPr>
      <w:r>
        <w:t xml:space="preserve">2. "Nach einer Ansicht [...], weil [...]."</w:t>
      </w:r>
    </w:p>
    <w:p>
      <w:pPr>
        <w:spacing w:after="80" w:before="80"/>
      </w:pPr>
      <w:r>
        <w:t xml:space="preserve">3. "Nach der Gegenmeinung [...], weil [...]."</w:t>
      </w:r>
    </w:p>
    <w:p>
      <w:pPr>
        <w:spacing w:after="80" w:before="80"/>
      </w:pPr>
      <w:r>
        <w:t xml:space="preserve">4. "Überzeugender ist [...], weil [...]."</w:t>
      </w:r>
    </w:p>
    <w:p>
      <w:pPr>
        <w:pStyle w:val="Heading1"/>
        <w:spacing w:after="100" w:before="200"/>
      </w:pPr>
      <w:r>
        <w:t xml:space="preserve">Abstraktionsprinzip — Merkregel</w:t>
      </w:r>
    </w:p>
    <w:p>
      <w:pPr>
        <w:spacing w:after="80" w:before="80"/>
      </w:pPr>
      <w:r>
        <w:t xml:space="preserve">Verpflichtungsgeschäft (§ 631 BGB) und Verfügungsgeschäft (§ 929 BGB) sind voneinander unabhängig. Die Nichtigkeit des Werkvertrages lässt den Eigentumsübergang unberührt — es sei denn, eine Bedingungsabrede liegt vor.</w:t>
      </w:r>
    </w:p>
    <w:p>
      <w:pPr>
        <w:pStyle w:val="Heading1"/>
        <w:spacing w:after="100" w:before="200"/>
      </w:pPr>
      <w:r>
        <w:t xml:space="preserve">§ 817 S. 2 BGB — Merkregel</w:t>
      </w:r>
    </w:p>
    <w:p>
      <w:pPr>
        <w:spacing w:after="80" w:before="80"/>
      </w:pPr>
      <w:r>
        <w:t xml:space="preserve">Wenn dem Leistenden selbst ein Gesetzesverstoß oder Sittenverstoß zur Last fällt, ist die Rückforderung gesperrt. Prüfung bei jedem Bereicherungsanspruch, wenn der Vertrag an § 134 oder § 138 BGB scheitert!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spacing w:after="80" w:before="80"/>
      </w:pPr>
      <w:r>
        <w:t xml:space="preserve">Fragen? Sprechstunde: Dr. Tannenmoor, Mi 10–12 Uhr, Raum C2-247. Dr. Eichmann-Roosendaal, Do 14–16 Uhr, Raum C2-251.</w:t>
      </w:r>
    </w:p>
    <w:p>
      <w:pPr>
        <w:spacing w:after="80" w:before="80"/>
      </w:pPr>
      <w:r>
        <w:t xml:space="preserve">Quellen: BGB §§ 134, 387, 812, 817, 929 (dejure.org); BGH VII ZR 235/15 (bundesgerichtshof.de); Larenz, Methodenlehre; Medicus, BGB AT.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Feedback-Handout Klausuranten</dc:title>
  <dc:creator>Perplexity Computer</dc:creator>
  <dc:description>Feedback-Handout für die Nachbesprechung, Lehrstuhl Pohlmann-Wittfeldt</dc:description>
  <cp:lastModifiedBy>Un-named</cp:lastModifiedBy>
  <cp:revision>1</cp:revision>
  <dcterms:created xsi:type="dcterms:W3CDTF">2026-05-30T20:47:20.408Z</dcterms:created>
  <dcterms:modified xsi:type="dcterms:W3CDTF">2026-05-30T20:47:20.408Z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