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00" w:before="200"/>
      </w:pPr>
      <w:r>
        <w:t xml:space="preserve">Musterlösung — Fall 14: Radarwarner-Werkstattvertrag</w:t>
      </w:r>
    </w:p>
    <w:p>
      <w:pPr>
        <w:spacing w:after="80" w:before="80"/>
      </w:pPr>
      <w:r>
        <w:t xml:space="preserve">Übung für Fortgeschrittene | SS 2026 | Lehrstuhl Prof. Dr. Eve Pohlmann-Wittfeldt</w:t>
      </w:r>
    </w:p>
    <w:p>
      <w:pPr>
        <w:spacing w:after="80" w:before="80"/>
      </w:pPr>
      <w:r>
        <w:t xml:space="preserve">Az.: Lehrstuhl Pohlmann ÜBG-SS2026-Fall-14</w:t>
      </w:r>
    </w:p>
    <w:p>
      <w:pPr>
        <w:spacing w:after="80" w:before="80"/>
      </w:pPr>
      <w:r>
        <w:t xml:space="preserve">Erstellt von: Dr. Hannes Tannenmoor / Dr. Lasse Eichmann-Roosendaal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Vorbemerkung</w:t>
      </w:r>
    </w:p>
    <w:p>
      <w:pPr>
        <w:spacing w:after="80" w:before="80"/>
      </w:pPr>
      <w:r>
        <w:t xml:space="preserve">Diese Musterlösung ist als Korrekturnorm und Lernmaterial für Klausuranten bestimmt. Andere vertretbare Aufbauvarianten werden bei der Bewertung akzeptiert, sofern die zentralen Rechtsfragen erkannt werden.</w:t>
      </w:r>
    </w:p>
    <w:p>
      <w:pPr>
        <w:pStyle w:val="Heading1"/>
        <w:spacing w:after="100" w:before="200"/>
      </w:pPr>
      <w:r>
        <w:t xml:space="preserve">Frage 1: Werklohnanspruch § 631 BGB</w:t>
      </w:r>
    </w:p>
    <w:p>
      <w:pPr>
        <w:spacing w:after="80" w:before="80"/>
      </w:pPr>
      <w:r>
        <w:rPr>
          <w:b/>
          <w:bCs/>
        </w:rPr>
        <w:t xml:space="preserve">I. Obersatz</w:t>
      </w:r>
    </w:p>
    <w:p>
      <w:pPr>
        <w:spacing w:after="80" w:before="80"/>
      </w:pPr>
      <w:r>
        <w:t xml:space="preserve">K könnte gegen G einen Anspruch auf Zahlung von 420 EUR aus § 631 Abs. 1 BGB haben, wenn ein wirksamer Werkvertrag vorliegt.</w:t>
      </w:r>
    </w:p>
    <w:p>
      <w:pPr>
        <w:spacing w:after="80" w:before="80"/>
      </w:pPr>
      <w:r>
        <w:rPr>
          <w:b/>
          <w:bCs/>
        </w:rPr>
        <w:t xml:space="preserve">II. Werkvertrag</w:t>
      </w:r>
    </w:p>
    <w:p>
      <w:pPr>
        <w:spacing w:after="80" w:before="80"/>
      </w:pPr>
      <w:r>
        <w:t xml:space="preserve">Ein Werkvertrag i.S.d. § 631 BGB kommt durch Angebot und Annahme zustande (§§ 145 ff. BGB). K und G haben sich mündlich am 3. März 2026 über den Einbau des Radarwarngeräts gegen 420 EUR geeinigt. Ein Werkvertrag ist geschlossen.</w:t>
      </w:r>
    </w:p>
    <w:p>
      <w:pPr>
        <w:spacing w:after="80" w:before="80"/>
      </w:pPr>
      <w:r>
        <w:rPr>
          <w:b/>
          <w:bCs/>
        </w:rPr>
        <w:t xml:space="preserve">III. Nichtigkeit gemäß § 134 BGB</w:t>
      </w:r>
    </w:p>
    <w:p>
      <w:pPr>
        <w:spacing w:after="80" w:before="80"/>
      </w:pPr>
      <w:r>
        <w:t xml:space="preserve">§ 134 BGB erklärt ein Rechtsgeschäft für nichtig, das gegen ein gesetzliches Verbot verstößt. § 23 Abs. 1c StVO verbietet das Benutzen von Radarwarngeräten durch den Fahrzeugführer.</w:t>
      </w:r>
    </w:p>
    <w:p>
      <w:pPr>
        <w:spacing w:after="80" w:before="80"/>
      </w:pPr>
      <w:r>
        <w:t xml:space="preserve">Ob dieses Verbot auch den Einbauvertrag erfasst, ist umstritten (s. Aktenstück 16). Vorzugswürdig ist die enge Auslegung (Medicus): Das Verbot richtet sich nur an den Nutzer; K verstößt durch den Einbau nicht gegen § 23 StVO. BGH VII ZR 235/15 ist nicht direkt anwendbar (beiderseitiger Verstoß fehlt).</w:t>
      </w:r>
    </w:p>
    <w:p>
      <w:pPr>
        <w:spacing w:after="80" w:before="80"/>
      </w:pPr>
      <w:r>
        <w:t xml:space="preserve">§ 134 BGB greift nicht ein. Der Werkvertrag ist wirksam.</w:t>
      </w:r>
    </w:p>
    <w:p>
      <w:pPr>
        <w:spacing w:after="80" w:before="80"/>
      </w:pPr>
      <w:r>
        <w:rPr>
          <w:b/>
          <w:bCs/>
        </w:rPr>
        <w:t xml:space="preserve">IV. Ergebnis Frage 1</w:t>
      </w:r>
    </w:p>
    <w:p>
      <w:pPr>
        <w:spacing w:after="80" w:before="80"/>
      </w:pPr>
      <w:r>
        <w:t xml:space="preserve">K hat einen Anspruch auf 420 EUR aus § 631 Abs. 1 BGB.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Frage 2: Bereicherungsanspruch §§ 812 ff. BGB (Hilfsprüfung)</w:t>
      </w:r>
    </w:p>
    <w:p>
      <w:pPr>
        <w:spacing w:after="80" w:before="80"/>
      </w:pPr>
      <w:r>
        <w:t xml:space="preserve">Hilfsweise — für den Fall der Nichtigkeit des Werkvertrages:</w:t>
      </w:r>
    </w:p>
    <w:p>
      <w:pPr>
        <w:spacing w:after="80" w:before="80"/>
      </w:pPr>
      <w:r>
        <w:t xml:space="preserve">G hat das eingebaute Gerät erlangt, durch Leistung des K, ohne Rechtsgrund. § 812 Abs. 1 S. 1 Alt. 1 BGB ist dem Grunde nach erfüllt.</w:t>
      </w:r>
    </w:p>
    <w:p>
      <w:pPr>
        <w:spacing w:after="80" w:before="80"/>
      </w:pPr>
      <w:r>
        <w:t xml:space="preserve">§ 817 S. 2 BGB sperrt den Anspruch: K hat wissentlich an der Vorbereitung der verbotenen Nutzung mitgewirkt. Dem Leistenden fällt ein Verstoß zur Last.</w:t>
      </w:r>
    </w:p>
    <w:p>
      <w:pPr>
        <w:spacing w:after="80" w:before="80"/>
      </w:pPr>
      <w:r>
        <w:t xml:space="preserve">Ergebnis: Kein Bereicherungsanspruch.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Frage 3: Aufrechnung § 387 BGB</w:t>
      </w:r>
    </w:p>
    <w:p>
      <w:pPr>
        <w:spacing w:after="80" w:before="80"/>
      </w:pPr>
      <w:r>
        <w:t xml:space="preserve">Gegenseitigkeit, Gleichartigkeit, Fälligkeit und Erfüllbarkeit liegen vor. Die Aufrechnungserklärung ist zugegangen.</w:t>
      </w:r>
    </w:p>
    <w:p>
      <w:pPr>
        <w:spacing w:after="80" w:before="80"/>
      </w:pPr>
      <w:r>
        <w:t xml:space="preserve">Folge: § 389 BGB — Erlöschen in Höhe von 150 EUR. Verbleibende Forderung: 270 EUR.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Frage 4: Eigentum §§ 929 ff. BGB</w:t>
      </w:r>
    </w:p>
    <w:p>
      <w:pPr>
        <w:spacing w:after="80" w:before="80"/>
      </w:pPr>
      <w:r>
        <w:t xml:space="preserve">Das Gerät ist kein wesentlicher Bestandteil (§ 93 BGB). § 929 BGB — rechtsgeschäftlicher Eigentumserwerb: Einigung (konkludent im Werkvertrag) und Übergabe (Einbau) liegen vor. Abstraktionsprinzip: Eigentumsübergang unabhängig vom Kausalgeschäft. G ist Eigentümer.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Gesamtergebnis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Frage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Anspruch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Betrag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1 (§ 631)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Besteht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420 EUR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3 (Aufrechnung)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Wirksam, Minderung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150 EUR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Verbleibend</w:t>
            </w:r>
          </w:p>
        </w:tc>
        <w:tc>
          <w:tcPr>
            <w:tcW w:type="dxa" w:w="3000"/>
          </w:tcPr>
          <w:p>
            <w:pPr>
              <w:spacing w:after="40" w:before="40"/>
            </w:pP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270 EUR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2 (§ 812, Hilfs)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Scheitert § 817 S. 2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—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4 (§ 929)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G Eigentümer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—</w:t>
            </w:r>
          </w:p>
        </w:tc>
      </w:tr>
    </w:tbl>
    <w:p>
      <w:pPr>
        <w:spacing w:after="80" w:before="80"/>
      </w:pPr>
    </w:p>
    <w:p>
      <w:pPr>
        <w:spacing w:after="80" w:before="80"/>
      </w:pPr>
      <w:r>
        <w:t xml:space="preserve">Quellen: BGB §§ 134, 138, 387, 631, 812, 817, 929 ff. (dejure.org); BGH VII ZR 235/15 (bundesgerichtshof.de); Larenz, Methodenlehre; Medicus, BGB AT.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Musterloesung Fall Radarwarner</dc:title>
  <dc:creator>Perplexity Computer</dc:creator>
  <dc:description>Musterlösung Übung für Fortgeschrittene SS 2026, Lehrstuhl Pohlmann-Wittfeldt</dc:description>
  <cp:lastModifiedBy>Un-named</cp:lastModifiedBy>
  <cp:revision>1</cp:revision>
  <dcterms:created xsi:type="dcterms:W3CDTF">2026-05-30T20:47:20.383Z</dcterms:created>
  <dcterms:modified xsi:type="dcterms:W3CDTF">2026-05-30T20:47:20.383Z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