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50"/>
        <w:jc w:val="center"/>
      </w:pPr>
      <w:r>
        <w:rPr>
          <w:rFonts w:ascii="Calibri" w:cs="Calibri" w:eastAsia="Calibri" w:hAnsi="Calibri"/>
          <w:b/>
          <w:bCs/>
          <w:color w:val="20808D"/>
          <w:sz w:val="32"/>
          <w:szCs w:val="32"/>
        </w:rPr>
        <w:t xml:space="preserve">REVIEWER-CHECKLISTE IDW S 11</w:t>
      </w:r>
    </w:p>
    <w:p>
      <w:pPr>
        <w:spacing w:after="300"/>
        <w:jc w:val="center"/>
      </w:pPr>
      <w:r>
        <w:rPr>
          <w:rFonts w:ascii="Calibri" w:cs="Calibri" w:eastAsia="Calibri" w:hAnsi="Calibri"/>
          <w:color w:val="7A7974"/>
          <w:sz w:val="20"/>
          <w:szCs w:val="20"/>
        </w:rPr>
        <w:t xml:space="preserve">Fortbestehensprognose Paragrafix GmbH | AZ: TR-WF-2026-PFX-0712</w:t>
      </w:r>
    </w:p>
    <w:p>
      <w:pPr>
        <w:pStyle w:val="Heading1"/>
        <w:spacing w:after="150" w:before="300"/>
      </w:pPr>
      <w:r>
        <w:t xml:space="preserve">A. Rahmenbedingungen und Prognosekonzept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437A22"/>
          <w:sz w:val="20"/>
          <w:szCs w:val="20"/>
        </w:rPr>
        <w:t xml:space="preserve">✓ </w:t>
      </w:r>
      <w:r>
        <w:rPr>
          <w:rFonts w:ascii="Calibri" w:cs="Calibri" w:eastAsia="Calibri" w:hAnsi="Calibri"/>
          <w:sz w:val="19"/>
          <w:szCs w:val="19"/>
        </w:rPr>
        <w:t xml:space="preserve">Prognosezeitraum 24 Monate vorhanden (IDW S 11 Tz. 18)  — Zeitraum 01.01.2026 bis 31.12.2027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DA7101"/>
          <w:sz w:val="20"/>
          <w:szCs w:val="20"/>
        </w:rPr>
        <w:t xml:space="preserve">~ </w:t>
      </w:r>
      <w:r>
        <w:rPr>
          <w:rFonts w:ascii="Calibri" w:cs="Calibri" w:eastAsia="Calibri" w:hAnsi="Calibri"/>
          <w:sz w:val="19"/>
          <w:szCs w:val="19"/>
        </w:rPr>
        <w:t xml:space="preserve">Zweistufige Pruefung GuV + Liquiditaet (Tz. 19-21)  — GuV nur quartalsweise statt monatlich (F-10b)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437A22"/>
          <w:sz w:val="20"/>
          <w:szCs w:val="20"/>
        </w:rPr>
        <w:t xml:space="preserve">✓ </w:t>
      </w:r>
      <w:r>
        <w:rPr>
          <w:rFonts w:ascii="Calibri" w:cs="Calibri" w:eastAsia="Calibri" w:hAnsi="Calibri"/>
          <w:sz w:val="19"/>
          <w:szCs w:val="19"/>
        </w:rPr>
        <w:t xml:space="preserve">Monatliche Liquiditaetsplanung vorhanden  — LIQUIDITAET-Tab vorhanden</w:t>
      </w:r>
    </w:p>
    <w:p>
      <w:pPr>
        <w:pStyle w:val="Heading1"/>
        <w:spacing w:after="150" w:before="300"/>
      </w:pPr>
      <w:r>
        <w:t xml:space="preserve">B. Annahmen und Parameter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Alle wesentlichen Parameter quellenbelegt (Tz. 34-38)  — F-07: 11 von 19 ohne Quelle (v23); in v24: 9 von 11 behoben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DA7101"/>
          <w:sz w:val="20"/>
          <w:szCs w:val="20"/>
        </w:rPr>
        <w:t xml:space="preserve">~ </w:t>
      </w:r>
      <w:r>
        <w:rPr>
          <w:rFonts w:ascii="Calibri" w:cs="Calibri" w:eastAsia="Calibri" w:hAnsi="Calibri"/>
          <w:sz w:val="19"/>
          <w:szCs w:val="19"/>
        </w:rPr>
        <w:t xml:space="preserve">Zinssatz marktkonform und belegt  — F-04: in v23 nicht belegt; in v24 korrigiert auf 6,5%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DA7101"/>
          <w:sz w:val="20"/>
          <w:szCs w:val="20"/>
        </w:rPr>
        <w:t xml:space="preserve">~ </w:t>
      </w:r>
      <w:r>
        <w:rPr>
          <w:rFonts w:ascii="Calibri" w:cs="Calibri" w:eastAsia="Calibri" w:hAnsi="Calibri"/>
          <w:sz w:val="19"/>
          <w:szCs w:val="19"/>
        </w:rPr>
        <w:t xml:space="preserve">Sanierungsmassnahmen mit Umsetzungsplan (Tz. 39-42)  — Massnahmen beschrieben; Meilensteine fehlen (F-10a)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Umsatzprognose mit Marktbelegenheit  — Recovery 2027 +17% ohne Vertriebsplan</w:t>
      </w:r>
    </w:p>
    <w:p>
      <w:pPr>
        <w:pStyle w:val="Heading1"/>
        <w:spacing w:after="150" w:before="300"/>
      </w:pPr>
      <w:r>
        <w:t xml:space="preserve">C. Modellkonsistenz und -intergritaet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Keine Zirkularbezuege oder dokumentierte Iteration (Tz. 22-24)  — F-01: Zirkularbezug CF/Zinsen (in v24 behoben)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Keine versteckten Sheets mit aktiven Bezuegen (Tz. 22)  — F-06: 2 versteckte Sheets (in v24 behoben)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Keine VBA-Makros mit Wertmanipulation  — F-09: UpdateSollwerte-Makro (in v24 geloescht)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Hardcoded-Werte in Rechenblaettern &lt; 5 (Good Practice)  — F-02: 47 Hardcoded-Werte (v24: noch 8 verbleibend)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Bilanzsumme ausgeglichen  — F-03: Fehler PB!B44 (in v24 behoben)</w:t>
      </w:r>
    </w:p>
    <w:p>
      <w:pPr>
        <w:pStyle w:val="Heading1"/>
        <w:spacing w:after="150" w:before="300"/>
      </w:pPr>
      <w:r>
        <w:t xml:space="preserve">D. Szenarioanalyse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437A22"/>
          <w:sz w:val="20"/>
          <w:szCs w:val="20"/>
        </w:rPr>
        <w:t xml:space="preserve">✓ </w:t>
      </w:r>
      <w:r>
        <w:rPr>
          <w:rFonts w:ascii="Calibri" w:cs="Calibri" w:eastAsia="Calibri" w:hAnsi="Calibri"/>
          <w:sz w:val="19"/>
          <w:szCs w:val="19"/>
        </w:rPr>
        <w:t xml:space="preserve">Basisszenario vorhanden  — Basisszenario in SZENARIEN-Tab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Mindestens ein adverses Szenario vorhanden (Tz. 43-47)  — F-08: Stressszenario fehlt in v23 (in v24 eingearbeitet)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Stressszenario zeigt ausreichend Puffer (&gt; 500 TEUR)  — v24 Stressszenario: nur +47 TEUR Puffer — kritisch eng</w:t>
      </w:r>
    </w:p>
    <w:p>
      <w:pPr>
        <w:pStyle w:val="Heading1"/>
        <w:spacing w:after="150" w:before="300"/>
      </w:pPr>
      <w:r>
        <w:t xml:space="preserve">E. Versionsdokumentation und Audit-Trail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A13544"/>
          <w:sz w:val="20"/>
          <w:szCs w:val="20"/>
        </w:rPr>
        <w:t xml:space="preserve">✗ </w:t>
      </w:r>
      <w:r>
        <w:rPr>
          <w:rFonts w:ascii="Calibri" w:cs="Calibri" w:eastAsia="Calibri" w:hAnsi="Calibri"/>
          <w:sz w:val="19"/>
          <w:szCs w:val="19"/>
        </w:rPr>
        <w:t xml:space="preserve">Aenderungsprotokoll vollstaendig dokumentiert  — F-04: Aenderung v22 auf v23 nicht dokumentiert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437A22"/>
          <w:sz w:val="20"/>
          <w:szCs w:val="20"/>
        </w:rPr>
        <w:t xml:space="preserve">✓ </w:t>
      </w:r>
      <w:r>
        <w:rPr>
          <w:rFonts w:ascii="Calibri" w:cs="Calibri" w:eastAsia="Calibri" w:hAnsi="Calibri"/>
          <w:sz w:val="19"/>
          <w:szCs w:val="19"/>
        </w:rPr>
        <w:t xml:space="preserve">SHA-256-Pruefsum oder vergleichbares Sicherungsverfahren  — Pruefsum vom Reviewer gesichert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DA7101"/>
          <w:sz w:val="20"/>
          <w:szCs w:val="20"/>
        </w:rPr>
        <w:t xml:space="preserve">~ </w:t>
      </w:r>
      <w:r>
        <w:rPr>
          <w:rFonts w:ascii="Calibri" w:cs="Calibri" w:eastAsia="Calibri" w:hAnsi="Calibri"/>
          <w:sz w:val="19"/>
          <w:szCs w:val="19"/>
        </w:rPr>
        <w:t xml:space="preserve">Versionierung der Eingangsdaten  — IST-Daten aus SAP-Export, kein formaler Daten-Audit-Trail</w:t>
      </w:r>
    </w:p>
    <w:p>
      <w:pPr>
        <w:pStyle w:val="Heading1"/>
        <w:spacing w:after="150" w:before="300"/>
      </w:pPr>
      <w:r>
        <w:t xml:space="preserve">Gesamtergebnis Konformitaetsbewertung v23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Erfuellt: 3 von 10 Kernkriterien. Nicht geeignet als IDW-S-11-konforme Fortbestehensprognose.</w:t>
      </w:r>
    </w:p>
    <w:p>
      <w:pPr>
        <w:pStyle w:val="Heading1"/>
        <w:spacing w:after="150" w:before="300"/>
      </w:pPr>
      <w:r>
        <w:t xml:space="preserve">Gesamtergebnis Konformitaetsbewertung v24 (nach Korrekturen)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Erfuellt: 7 von 10 Kernkriterien. Unter Vorbehalt F-07b und F-10b zur WP-Pruefung vorlegen.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Quellen: IDW S 11 vollstaendig (https://www.idw.de); HGB § 252 (https://dejure.org/gesetze/HGB/252.html).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2026-05-30T20:49:45.212Z</dcterms:created>
  <dcterms:modified xsi:type="dcterms:W3CDTF">2026-05-30T20:49:45.212Z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