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rFonts w:ascii="Calibri" w:cs="Calibri" w:eastAsia="Calibri" w:hAnsi="Calibri"/>
          <w:b/>
          <w:bCs/>
          <w:color w:val="1B474D"/>
          <w:sz w:val="30"/>
          <w:szCs w:val="30"/>
        </w:rPr>
        <w:t xml:space="preserve">FORMELLE STELLUNGNAHME</w:t>
      </w:r>
    </w:p>
    <w:p>
      <w:pPr>
        <w:spacing w:after="300"/>
        <w:jc w:val="center"/>
      </w:pPr>
      <w:r>
        <w:rPr>
          <w:rFonts w:ascii="Calibri" w:cs="Calibri" w:eastAsia="Calibri" w:hAnsi="Calibri"/>
          <w:color w:val="7A7974"/>
          <w:sz w:val="20"/>
          <w:szCs w:val="20"/>
        </w:rPr>
        <w:t xml:space="preserve">des unabhaengigen Reviewers an die Geschaeftsfuehrung der Paragrafix GmbH</w:t>
      </w:r>
    </w:p>
    <w:p>
      <w:pPr>
        <w:spacing w:after="120"/>
      </w:pPr>
      <w:r>
        <w:rPr>
          <w:rFonts w:ascii="Calibri" w:cs="Calibri" w:eastAsia="Calibri" w:hAnsi="Calibri"/>
          <w:sz w:val="20"/>
          <w:szCs w:val="20"/>
        </w:rPr>
        <w:t xml:space="preserve">Berlin, 15. Januar 2026</w:t>
      </w:r>
    </w:p>
    <w:p>
      <w:pPr>
        <w:spacing w:after="120"/>
      </w:pPr>
      <w:r>
        <w:rPr>
          <w:rFonts w:ascii="Calibri" w:cs="Calibri" w:eastAsia="Calibri" w:hAnsi="Calibri"/>
          <w:sz w:val="20"/>
          <w:szCs w:val="20"/>
        </w:rPr>
        <w:t xml:space="preserve">An:  Dr. Cornelius Vellbruck-Steinheim (Geschaeftsfuehrender GF)</w:t>
      </w:r>
    </w:p>
    <w:p>
      <w:pPr>
        <w:spacing w:after="120"/>
      </w:pPr>
      <w:r>
        <w:rPr>
          <w:rFonts w:ascii="Calibri" w:cs="Calibri" w:eastAsia="Calibri" w:hAnsi="Calibri"/>
          <w:sz w:val="20"/>
          <w:szCs w:val="20"/>
        </w:rPr>
        <w:t xml:space="preserve">     Annegret Pellbach-Roosendaal (CFO)</w:t>
      </w:r>
    </w:p>
    <w:p>
      <w:pPr>
        <w:spacing w:after="120"/>
      </w:pPr>
      <w:r>
        <w:rPr>
          <w:rFonts w:ascii="Calibri" w:cs="Calibri" w:eastAsia="Calibri" w:hAnsi="Calibri"/>
          <w:sz w:val="20"/>
          <w:szCs w:val="20"/>
        </w:rPr>
        <w:t xml:space="preserve">     Paragrafix GmbH, Friedrichstr. 188, 10117 Berlin</w:t>
      </w:r>
    </w:p>
    <w:p>
      <w:pPr>
        <w:spacing w:after="120"/>
      </w:pPr>
      <w:r>
        <w:rPr>
          <w:rFonts w:ascii="Calibri" w:cs="Calibri" w:eastAsia="Calibri" w:hAnsi="Calibri"/>
          <w:sz w:val="20"/>
          <w:szCs w:val="20"/>
        </w:rPr>
        <w:t xml:space="preserve">Von: Dr. Henrike Wittfeldt-Steinheim, WPin/RAin</w:t>
      </w:r>
    </w:p>
    <w:p>
      <w:pPr>
        <w:spacing w:after="120"/>
      </w:pPr>
      <w:r>
        <w:rPr>
          <w:rFonts w:ascii="Calibri" w:cs="Calibri" w:eastAsia="Calibri" w:hAnsi="Calibri"/>
          <w:sz w:val="20"/>
          <w:szCs w:val="20"/>
        </w:rPr>
        <w:t xml:space="preserve">     TabellenReview Wittfeldt Federkamp PartG, Taubenstr. 12, 10117 Berlin</w:t>
      </w:r>
    </w:p>
    <w:p>
      <w:pPr>
        <w:spacing w:after="120"/>
      </w:pPr>
      <w:r>
        <w:rPr>
          <w:rFonts w:ascii="Calibri" w:cs="Calibri" w:eastAsia="Calibri" w:hAnsi="Calibri"/>
          <w:sz w:val="20"/>
          <w:szCs w:val="20"/>
        </w:rPr>
        <w:t xml:space="preserve">Betr.: Tabellenreview Fortbestehensprognose-Modell v23 (PFX-2026-FoBP-v23)</w:t>
      </w:r>
    </w:p>
    <w:p>
      <w:pPr>
        <w:spacing w:after="120"/>
      </w:pPr>
      <w:r>
        <w:rPr>
          <w:rFonts w:ascii="Calibri" w:cs="Calibri" w:eastAsia="Calibri" w:hAnsi="Calibri"/>
          <w:sz w:val="20"/>
          <w:szCs w:val="20"/>
        </w:rPr>
        <w:t xml:space="preserve">AZ:  TR-WF-2026-PFX-0712</w:t>
      </w:r>
    </w:p>
    <w:p>
      <w:pPr>
        <w:pStyle w:val="Heading1"/>
        <w:spacing w:after="150" w:before="300"/>
      </w:pPr>
      <w:r>
        <w:t xml:space="preserve">I. Anlass dieser Stellungnahme</w:t>
      </w:r>
    </w:p>
    <w:p>
      <w:pPr>
        <w:spacing w:after="120"/>
      </w:pPr>
      <w:r>
        <w:rPr>
          <w:rFonts w:ascii="Calibri" w:cs="Calibri" w:eastAsia="Calibri" w:hAnsi="Calibri"/>
          <w:sz w:val="20"/>
          <w:szCs w:val="20"/>
        </w:rPr>
        <w:t xml:space="preserve">Der Reviewer erstattet hiermit — gemaess Auftragsvereinbarung vom 08. Januar 2026 — Bericht ueber die Ergebnisse des abgeschlossenen Tabellenreviews. Diese Stellungnahme richtet sich unmittelbar an die Geschaeftsfuehrung und versteht sich als vertrauliches Dokument. Eine Weitergabe an Dritte bedarf der schriftlichen Zustimmung des Reviewers.</w:t>
      </w:r>
    </w:p>
    <w:p>
      <w:pPr>
        <w:pStyle w:val="Heading1"/>
        <w:spacing w:after="150" w:before="300"/>
      </w:pPr>
      <w:r>
        <w:t xml:space="preserve">II. Reviewergebnis (Zusammenfassung)</w:t>
      </w:r>
    </w:p>
    <w:p>
      <w:pPr>
        <w:spacing w:after="120"/>
      </w:pPr>
      <w:r>
        <w:rPr>
          <w:rFonts w:ascii="Calibri" w:cs="Calibri" w:eastAsia="Calibri" w:hAnsi="Calibri"/>
          <w:sz w:val="20"/>
          <w:szCs w:val="20"/>
        </w:rPr>
        <w:t xml:space="preserve">Das Modell v23 weist 10 Findings auf und ist in seiner vorgelegten Form nicht geeignet, als Grundlage fuer eine IDW-S-11-konforme Fortbestehensprognose oder einen Jahresabschluss nach HGB § 264 zu dienen. Insbesondere:</w:t>
      </w:r>
    </w:p>
    <w:p>
      <w:pPr>
        <w:spacing w:after="80"/>
      </w:pPr>
      <w:r>
        <w:rPr>
          <w:rFonts w:ascii="Calibri" w:cs="Calibri" w:eastAsia="Calibri" w:hAnsi="Calibri"/>
          <w:b/>
          <w:bCs/>
          <w:sz w:val="20"/>
          <w:szCs w:val="20"/>
        </w:rPr>
        <w:t xml:space="preserve">1. Kritisches Finding F-04 (Manipulationsverdacht):</w:t>
      </w:r>
    </w:p>
    <w:p>
      <w:pPr>
        <w:spacing w:after="120"/>
      </w:pPr>
      <w:r>
        <w:rPr>
          <w:rFonts w:ascii="Calibri" w:cs="Calibri" w:eastAsia="Calibri" w:hAnsi="Calibri"/>
          <w:sz w:val="20"/>
          <w:szCs w:val="20"/>
        </w:rPr>
        <w:t xml:space="preserve">Die nicht dokumentierte, parameterentkoppelte Absenkung des Kontokorrentzinssatzes von 6,2% auf 4,9% zwischen v22 und v23 begruendet den Verdacht einer bewussten Ergebnismanipulation. Die Auswirkung belaeuft sich auf ca. 186 TEUR zu guenstiges Liquiditaetsergebnis.</w:t>
      </w:r>
    </w:p>
    <w:p>
      <w:pPr>
        <w:spacing w:after="80"/>
      </w:pPr>
      <w:r>
        <w:rPr>
          <w:rFonts w:ascii="Calibri" w:cs="Calibri" w:eastAsia="Calibri" w:hAnsi="Calibri"/>
          <w:b/>
          <w:bCs/>
          <w:sz w:val="20"/>
          <w:szCs w:val="20"/>
        </w:rPr>
        <w:t xml:space="preserve">2. Strafrechtliche Implikation:</w:t>
      </w:r>
    </w:p>
    <w:p>
      <w:pPr>
        <w:spacing w:after="120"/>
      </w:pPr>
      <w:r>
        <w:rPr>
          <w:rFonts w:ascii="Calibri" w:cs="Calibri" w:eastAsia="Calibri" w:hAnsi="Calibri"/>
          <w:sz w:val="20"/>
          <w:szCs w:val="20"/>
        </w:rPr>
        <w:t xml:space="preserve">Der Reviewer weist ausdruecklich auf das Risiko nach § 283b StGB (Verletzung der Buchfuehrungspflicht) hin. Sofern ein nach aussen gereichtes Planungsmodell wissentlich verzerrt wurde, kann eine Strafbarkeit bestehen. Der Reviewer empfiehlt dringend die sofortige Einschaltung eines auf Wirtschaftsstrafrecht spezialisierten Rechtsanwalts.</w:t>
      </w:r>
    </w:p>
    <w:p>
      <w:pPr>
        <w:spacing w:after="80"/>
      </w:pPr>
      <w:r>
        <w:rPr>
          <w:rFonts w:ascii="Calibri" w:cs="Calibri" w:eastAsia="Calibri" w:hAnsi="Calibri"/>
          <w:b/>
          <w:bCs/>
          <w:sz w:val="20"/>
          <w:szCs w:val="20"/>
        </w:rPr>
        <w:t xml:space="preserve">3. Insolvenzantragspflicht (§ 15a InsO):</w:t>
      </w:r>
    </w:p>
    <w:p>
      <w:pPr>
        <w:spacing w:after="120"/>
      </w:pPr>
      <w:r>
        <w:rPr>
          <w:rFonts w:ascii="Calibri" w:cs="Calibri" w:eastAsia="Calibri" w:hAnsi="Calibri"/>
          <w:sz w:val="20"/>
          <w:szCs w:val="20"/>
        </w:rPr>
        <w:t xml:space="preserve">Nach Korrektur aller Findings belaeuft sich der verbleibende Liquiditaetspuffer im Basisszenario 2027 auf nur noch ca. +110 TEUR. Im Stressszenario sind es +47 TEUR. Vor diesem Hintergrund ist eine eigenstaendige insolvenzrechtliche Beurteilung (§§ 17, 19 InsO) unverzueglich einzuholen.</w:t>
      </w:r>
    </w:p>
    <w:p>
      <w:pPr>
        <w:pStyle w:val="Heading1"/>
        <w:spacing w:after="150" w:before="300"/>
      </w:pPr>
      <w:r>
        <w:t xml:space="preserve">III. Handlungsanweisungen</w:t>
      </w:r>
    </w:p>
    <w:p>
      <w:pPr>
        <w:spacing w:after="120"/>
      </w:pPr>
      <w:r>
        <w:rPr>
          <w:rFonts w:ascii="Calibri" w:cs="Calibri" w:eastAsia="Calibri" w:hAnsi="Calibri"/>
          <w:sz w:val="20"/>
          <w:szCs w:val="20"/>
        </w:rPr>
        <w:t xml:space="preserve">1. Sofort: Makro loeschen; versteckte Sheets offenlegen.</w:t>
      </w:r>
    </w:p>
    <w:p>
      <w:pPr>
        <w:spacing w:after="120"/>
      </w:pPr>
      <w:r>
        <w:rPr>
          <w:rFonts w:ascii="Calibri" w:cs="Calibri" w:eastAsia="Calibri" w:hAnsi="Calibri"/>
          <w:sz w:val="20"/>
          <w:szCs w:val="20"/>
        </w:rPr>
        <w:t xml:space="preserve">2. Bis 19.01.2026: Zirkularitaet F-01, SUM-Fehler F-03, Zinssatz F-04 korrigieren.</w:t>
      </w:r>
    </w:p>
    <w:p>
      <w:pPr>
        <w:spacing w:after="120"/>
      </w:pPr>
      <w:r>
        <w:rPr>
          <w:rFonts w:ascii="Calibri" w:cs="Calibri" w:eastAsia="Calibri" w:hAnsi="Calibri"/>
          <w:sz w:val="20"/>
          <w:szCs w:val="20"/>
        </w:rPr>
        <w:t xml:space="preserve">3. Bis 26.01.2026: Korrigiertes Modell v24 an WP Birkholz &amp; Partner.</w:t>
      </w:r>
    </w:p>
    <w:p>
      <w:pPr>
        <w:spacing w:after="120"/>
      </w:pPr>
      <w:r>
        <w:rPr>
          <w:rFonts w:ascii="Calibri" w:cs="Calibri" w:eastAsia="Calibri" w:hAnsi="Calibri"/>
          <w:sz w:val="20"/>
          <w:szCs w:val="20"/>
        </w:rPr>
        <w:t xml:space="preserve">4. Umgehend: Insolvenzrechtliche Beratung einholen (Empfehlung: RAin Dr. Schilder-Moerth).</w:t>
      </w:r>
    </w:p>
    <w:p>
      <w:pPr>
        <w:spacing w:after="120"/>
      </w:pPr>
      <w:r>
        <w:rPr>
          <w:rFonts w:ascii="Calibri" w:cs="Calibri" w:eastAsia="Calibri" w:hAnsi="Calibri"/>
          <w:sz w:val="20"/>
          <w:szCs w:val="20"/>
        </w:rPr>
        <w:t xml:space="preserve">5. Umgehend: Strafrechtliche Beratung einholen.</w:t>
      </w:r>
    </w:p>
    <w:p>
      <w:pPr>
        <w:pStyle w:val="Heading1"/>
        <w:spacing w:after="150" w:before="300"/>
      </w:pPr>
      <w:r>
        <w:t xml:space="preserve">IV. Grenzen dieser Stellungnahme</w:t>
      </w:r>
    </w:p>
    <w:p>
      <w:pPr>
        <w:spacing w:after="120"/>
      </w:pPr>
      <w:r>
        <w:rPr>
          <w:rFonts w:ascii="Calibri" w:cs="Calibri" w:eastAsia="Calibri" w:hAnsi="Calibri"/>
          <w:sz w:val="20"/>
          <w:szCs w:val="20"/>
        </w:rPr>
        <w:t xml:space="preserve">Diese Stellungnahme bewertet ausschliesslich die formale Modellarchitektur und Konformitaet mit IDW S 11. Sie ist keine Jahresabschlusspruefung und kein Sanierungsgutachten. Die inhaltliche Verantwortung fuer die Planungsannahmen liegt allein bei der Geschaeftsfuehrung der Paragrafix GmbH.</w:t>
      </w:r>
    </w:p>
    <w:p>
      <w:pPr>
        <w:spacing w:before="400"/>
      </w:pPr>
      <w:r>
        <w:rPr>
          <w:rFonts w:ascii="Calibri" w:cs="Calibri" w:eastAsia="Calibri" w:hAnsi="Calibri"/>
          <w:i/>
          <w:iCs/>
          <w:sz w:val="18"/>
          <w:szCs w:val="18"/>
        </w:rPr>
        <w:t xml:space="preserve">Dr. Henrike Wittfeldt-Steinheim — TabellenReview Wittfeldt Federkamp PartG, Berlin</w:t>
      </w:r>
    </w:p>
    <w:p>
      <w:pPr>
        <w:spacing w:after="120"/>
      </w:pPr>
      <w:r>
        <w:rPr>
          <w:rFonts w:ascii="Calibri" w:cs="Calibri" w:eastAsia="Calibri" w:hAnsi="Calibri"/>
          <w:sz w:val="20"/>
          <w:szCs w:val="20"/>
        </w:rPr>
        <w:t xml:space="preserve">Quellen: IDW S 11 (https://www.idw.de); InsO §§ 15a, 17, 19 (https://dejure.org/gesetze/InsO/15a.html); StGB § 283b (https://dejure.org/gesetze/StGB/283b.html); HGB §§ 252, 264 (https://dejure.org/gesetze/HGB/252.html).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2026-05-30T20:50:20.108Z</dcterms:created>
  <dcterms:modified xsi:type="dcterms:W3CDTF">2026-05-30T20:50:20.108Z</dcterms:modified>
</cp:coreProperties>
</file>

<file path=docProps/custom.xml><?xml version="1.0" encoding="utf-8"?>
<Properties xmlns="http://schemas.openxmlformats.org/officeDocument/2006/custom-properties" xmlns:vt="http://schemas.openxmlformats.org/officeDocument/2006/docPropsVTypes"/>
</file>