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474D"/>
          <w:sz w:val="36"/>
          <w:szCs w:val="36"/>
        </w:rPr>
        <w:t xml:space="preserve">TABELLENREVIEW BERICHT</w:t>
      </w:r>
    </w:p>
    <w:p>
      <w:pPr>
        <w:spacing w:after="100"/>
        <w:jc w:val="center"/>
      </w:pPr>
      <w:r>
        <w:rPr>
          <w:rFonts w:ascii="Calibri" w:cs="Calibri" w:eastAsia="Calibri" w:hAnsi="Calibri"/>
          <w:b/>
          <w:bCs/>
          <w:sz w:val="26"/>
          <w:szCs w:val="26"/>
        </w:rPr>
        <w:t xml:space="preserve">Paragrafix GmbH — Fortbestehensprognose-Modell v23</w:t>
      </w:r>
    </w:p>
    <w:p>
      <w:pPr>
        <w:spacing w:after="400"/>
        <w:jc w:val="center"/>
      </w:pPr>
      <w:r>
        <w:rPr>
          <w:rFonts w:ascii="Calibri" w:cs="Calibri" w:eastAsia="Calibri" w:hAnsi="Calibri"/>
          <w:color w:val="7A7974"/>
          <w:sz w:val="20"/>
          <w:szCs w:val="20"/>
        </w:rPr>
        <w:t xml:space="preserve">AZ: TR-WF-2026-PFX-0712 | Datum: 26. Januar 2026</w:t>
      </w:r>
    </w:p>
    <w:p>
      <w:pPr>
        <w:pStyle w:val="Heading1"/>
        <w:spacing w:after="150" w:before="300"/>
      </w:pPr>
      <w:r>
        <w:t xml:space="preserve">1. Auftrag und Gegenstand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TabellenReview Wittfeldt Federkamp PartG wurde am 08. Januar 2026 von der Paragrafix GmbH (Berlin) mit einem unabhaengigen Tabellenreview des Excel-Modells zur Fortbestehensprognose beauftragt. Das Modell v23 (PFX-FoBP-Modell-v23-final.xlsx) wurde am 09. Januar 2026 uebermittelt. Federführung: Dr. Henrike Wittfeldt-Steinheim (WPin, RAin), Mitarbeit: Karsten Federkamp (Dipl.-Wirtschaftsmathematiker).</w:t>
      </w:r>
    </w:p>
    <w:p>
      <w:pPr>
        <w:pStyle w:val="Heading1"/>
        <w:spacing w:after="150" w:before="300"/>
      </w:pPr>
      <w:r>
        <w:t xml:space="preserve">2. Zusammenfassung der Reviewergebnisse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Das Review hat 10 Findings identifiziert, davon 3 kritische, 4 hohe und 3 mittlere Schweregrade. Das Modell v23 ist in seiner vorgelegten Form nicht geeignet als Grundlage fuer eine IDW-S-11-konforme Fortbestehensprognose.</w:t>
      </w:r>
    </w:p>
    <w:p>
      <w:pPr>
        <w:pStyle w:val="Heading2"/>
        <w:spacing w:after="100" w:before="200"/>
      </w:pPr>
      <w:r>
        <w:t xml:space="preserve">2.1 Kritische Findings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F-01: Zirkulaerer Bezug zwischen PLAN-CF!E14 und ZINS-SCHULDEN!D9. Modell haengt von Iterationsrechnung ab; bei Standardeinstellungen Fehlerwert. Auswirkung: Zinsaufwand um ca. 186 TEUR zu niedrig.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F-04: Zinssatz Kontokorrent manuell von 6,2% (v22) auf 4,9% (v23) reduziert durch Hardcoding in ZS!C5. Formelbezug zu PARAM geloest. Keine Dokumentation im Changelog. Auswirkung: Zinslast um 186 TEUR zu niedrig. Manipulationsverdacht.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F-08: Kein adverses Stressszenario (IDW S 11 Tz. 43-47). Nur Basisszenario vorhanden. Bei simuliertem Stressszenario: Liquiditaetsergebnis 2027 ca. -1.240 TEUR.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F-10: IDW-S-11-Konformitaet: 7 von 10 Pruefkriterien nicht oder nur teilweise erfuellt.</w:t>
      </w:r>
    </w:p>
    <w:p>
      <w:pPr>
        <w:pStyle w:val="Heading2"/>
        <w:spacing w:after="100" w:before="200"/>
      </w:pPr>
      <w:r>
        <w:t xml:space="preserve">2.2 Hohe Findings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F-02: 47 Hardcoded-Werte in Rechenplaettern. Gesamtauswirkung ca. +329 TEUR zu optimistisch. F-03: Falsche SUM-Formel Bilanzsumme; Bilanz unausgeglichen -127 TEUR. F-05: Doppelte Pensionsrueckstellungsbuchung. F-06: Versteckte Sheets mit aktiven Bezuegen. F-09: VBA-Makro ueberschreibt Planwerte bei Dateioefffnen.</w:t>
      </w:r>
    </w:p>
    <w:p>
      <w:pPr>
        <w:pStyle w:val="Heading1"/>
        <w:spacing w:after="150" w:before="300"/>
      </w:pPr>
      <w:r>
        <w:t xml:space="preserve">3. Versionsvergleich v22/v23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Der Versionsvergleich zeigt, dass v23 gegenueber v22 ein um 341 TEUR besseres Liquiditaetsergebnis ausweist. Dieser Unterschied basiert auf methodisch nicht belastbaren Aenderungen (Zinssatzsenkung, DSO-Hardcode, Wachstumsrate-Hardcode, undokumentiert). Der Reviewer sieht hinreichenden Anfangsverdacht auf bewusste Ergebnismanipulation.</w:t>
      </w:r>
    </w:p>
    <w:p>
      <w:pPr>
        <w:pStyle w:val="Heading1"/>
        <w:spacing w:after="150" w:before="300"/>
      </w:pPr>
      <w:r>
        <w:t xml:space="preserve">4. Rechtliche Einordnung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HGB § 252 Abs. 1 Nr. 2 (Going-Concern): Das Modell kann in der vorliegenden Form nicht zur Begruendung der Going-Concern-Praemisse verwendet werden. InsO § 15a: GF-Haftung bei verspaeteter Insolvenzantragstellung. StGB § 283b: Strafrechtliches Risiko Bilanzfaelschung. Empfehlung: Sofortige Einschaltung Strafrechtsexperte.</w:t>
      </w:r>
    </w:p>
    <w:p>
      <w:pPr>
        <w:pStyle w:val="Heading1"/>
        <w:spacing w:after="150" w:before="300"/>
      </w:pPr>
      <w:r>
        <w:t xml:space="preserve">5. Ergebnis und Empfehlung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Das korrigierte Modell v24 (25.01.2026) hat die wesentlichen Findings behoben. Der Liquiditaetspuffer im Stressszenario betraegt +47 TEUR und ist kritisch eng. Empfehlung: Vorlage v24 bei WP Birkholz &amp; Partner; Beauftragung IDW-S-6-Sanierungsgutachten; insolvenzrechtliche Parallelberatung.</w:t>
      </w:r>
    </w:p>
    <w:p>
      <w:pPr>
        <w:spacing w:after="120"/>
      </w:pPr>
      <w:r>
        <w:rPr>
          <w:rFonts w:ascii="Calibri" w:cs="Calibri" w:eastAsia="Calibri" w:hAnsi="Calibri"/>
          <w:sz w:val="20"/>
          <w:szCs w:val="20"/>
        </w:rPr>
        <w:t xml:space="preserve">Quellen: IDW S 11 (https://www.idw.de); HGB §§ 252, 264 (https://dejure.org/gesetze/HGB/252.html); InsO § 15a (https://dejure.org/gesetze/InsO/15a.html); StGB § 283b (https://dejure.org/gesetze/StGB/283b.html).</w:t>
      </w:r>
    </w:p>
    <w:p>
      <w:pPr>
        <w:spacing w:before="400"/>
      </w:pPr>
      <w:r>
        <w:rPr>
          <w:rFonts w:ascii="Calibri" w:cs="Calibri" w:eastAsia="Calibri" w:hAnsi="Calibri"/>
          <w:i/>
          <w:iCs/>
          <w:sz w:val="18"/>
          <w:szCs w:val="18"/>
        </w:rPr>
        <w:t xml:space="preserve">Berlin, 26. Januar 2026 — Dr. Henrike Wittfeldt-Steinheim, WPin/RAin, TabellenReview Wittfeldt Federkamp PartG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2026-05-30T20:49:12.056Z</dcterms:created>
  <dcterms:modified xsi:type="dcterms:W3CDTF">2026-05-30T20:49:12.056Z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