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Heading1"/>
        <w:jc w:val="center"/>
      </w:pPr>
      <w:r>
        <w:t xml:space="preserve">LANDGERICHT LEIPZIG</w:t>
      </w:r>
    </w:p>
    <w:p>
      <w:pPr>
        <w:spacing w:after="400"/>
        <w:jc w:val="center"/>
      </w:pPr>
      <w:r>
        <w:t xml:space="preserve">8. Zivilkammer</w:t>
      </w:r>
    </w:p>
    <w:p>
      <w:pPr>
        <w:pStyle w:val="Heading1"/>
        <w:jc w:val="center"/>
      </w:pPr>
      <w:r>
        <w:t xml:space="preserve">BESCHLUSS</w:t>
      </w:r>
    </w:p>
    <w:p>
      <w:pPr>
        <w:spacing w:after="600"/>
        <w:jc w:val="center"/>
      </w:pPr>
      <w:r>
        <w:t xml:space="preserve">Az.: 8 O 188/26</w:t>
      </w:r>
    </w:p>
    <w:p>
      <w:pPr>
        <w:spacing w:after="400"/>
      </w:pPr>
      <w:r>
        <w:t xml:space="preserve">In dem Rechtsstreit Radarwarner GmbH ./. Schreinmoor Bauträger AG wird der Streitwert gemäß §§ 63, 45 GKG wie folgt festgesetzt:</w:t>
      </w:r>
    </w:p>
    <w:p>
      <w:pPr>
        <w:spacing w:after="200"/>
      </w:pPr>
      <w:r>
        <w:rPr>
          <w:b/>
          <w:bCs/>
        </w:rPr>
        <w:t xml:space="preserve">1.  Hauptklage (restlicher Werklohn):</w:t>
      </w:r>
      <w:r>
        <w:t xml:space="preserve">  EUR 428.180,00</w:t>
      </w:r>
    </w:p>
    <w:p>
      <w:pPr>
        <w:spacing w:after="200"/>
      </w:pPr>
      <w:r>
        <w:rPr>
          <w:b/>
          <w:bCs/>
        </w:rPr>
        <w:t xml:space="preserve">2.  Hilfsaufrechnung (§ 45 Abs. 3 GKG):</w:t>
      </w:r>
      <w:r>
        <w:t xml:space="preserve">  EUR 612.500,00</w:t>
      </w:r>
    </w:p>
    <w:p>
      <w:pPr>
        <w:spacing w:after="400"/>
      </w:pPr>
      <w:r>
        <w:rPr>
          <w:b/>
          <w:bCs/>
        </w:rPr>
        <w:t xml:space="preserve">Gesamtstreitwert:</w:t>
      </w:r>
      <w:r>
        <w:t xml:space="preserve">  EUR 1.040.680,00</w:t>
      </w:r>
    </w:p>
    <w:p>
      <w:pPr>
        <w:spacing w:after="400"/>
      </w:pPr>
      <w:r>
        <w:t xml:space="preserve">Die Hilfsaufrechnung erhöht den Streitwert gemäß § 45 Abs. 3 GKG. Das Gericht hat über die Gegenforderung in voller Höhe entschieden.</w:t>
      </w:r>
    </w:p>
    <w:p>
      <w:pPr>
        <w:spacing w:after="600"/>
      </w:pPr>
      <w:r>
        <w:t xml:space="preserve">Gegen diesen Beschluss findet die Beschwerde nach § 68 GKG statt.</w:t>
      </w:r>
    </w:p>
    <w:p>
      <w:pPr>
        <w:spacing w:after="400"/>
      </w:pPr>
      <w:r>
        <w:t xml:space="preserve">Leipzig, den 8. Oktober 2026</w:t>
      </w:r>
    </w:p>
    <w:p>
      <w:pPr>
        <w:spacing w:after="100"/>
      </w:pPr>
      <w:r>
        <w:rPr>
          <w:b/>
          <w:bCs/>
        </w:rPr>
        <w:t xml:space="preserve">Dr. Tannenberg-Eichmueller</w:t>
      </w:r>
    </w:p>
    <w:p>
      <w:r>
        <w:t xml:space="preserve">Vorsitzende Richterin am Landgericht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Streitwertbeschluss 8 O 188/26 LG Leipzig</dc:title>
  <dc:creator>Perplexity Computer</dc:creator>
  <cp:lastModifiedBy>Un-named</cp:lastModifiedBy>
  <cp:revision>1</cp:revision>
  <dcterms:created xsi:type="dcterms:W3CDTF">2026-05-30T21:13:56.127Z</dcterms:created>
  <dcterms:modified xsi:type="dcterms:W3CDTF">2026-05-30T21:13:56.127Z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