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LANDGERICHT LEIPZIG</w:t>
      </w:r>
    </w:p>
    <w:p>
      <w:pPr>
        <w:jc w:val="center"/>
      </w:pPr>
      <w:r>
        <w:t xml:space="preserve">8. Zivilkammer</w:t>
      </w:r>
    </w:p>
    <w:p>
      <w:pPr>
        <w:spacing w:after="400"/>
        <w:jc w:val="center"/>
      </w:pPr>
      <w:r>
        <w:t xml:space="preserve">Im Namen des Volkes</w:t>
      </w:r>
    </w:p>
    <w:p>
      <w:pPr>
        <w:pStyle w:val="Heading1"/>
        <w:jc w:val="center"/>
      </w:pPr>
      <w:r>
        <w:t xml:space="preserve">URTEIL</w:t>
      </w:r>
    </w:p>
    <w:p>
      <w:pPr>
        <w:spacing w:after="600"/>
        <w:jc w:val="center"/>
      </w:pPr>
      <w:r>
        <w:t xml:space="preserve">Az.: 8 O 188/26</w:t>
      </w:r>
    </w:p>
    <w:p>
      <w:pPr>
        <w:spacing w:after="200"/>
      </w:pPr>
      <w:r>
        <w:t xml:space="preserve">In dem Rechtsstreit</w:t>
      </w:r>
    </w:p>
    <w:p>
      <w:pPr>
        <w:spacing w:after="100"/>
      </w:pPr>
      <w:r>
        <w:rPr>
          <w:b/>
          <w:bCs/>
        </w:rPr>
        <w:t xml:space="preserve">Radarwarner GmbH</w:t>
      </w:r>
      <w:r>
        <w:t xml:space="preserve">, Holzmarktstraße 12, 04109 Leipzig</w:t>
      </w:r>
    </w:p>
    <w:p>
      <w:pPr>
        <w:spacing w:after="200"/>
      </w:pPr>
      <w:r>
        <w:t xml:space="preserve">— Klägerin —</w:t>
      </w:r>
    </w:p>
    <w:p>
      <w:pPr>
        <w:spacing w:after="300"/>
      </w:pPr>
      <w:r>
        <w:rPr>
          <w:b/>
          <w:bCs/>
        </w:rPr>
        <w:t xml:space="preserve">Prozessbevollmächtigte:</w:t>
      </w:r>
      <w:r>
        <w:t xml:space="preserve"> RAin Dr. Miriam Feldkötter-Haas, Kanzlei Feldkötter &amp; Partner, Nikolaistraße 5, 04109 Leipzig</w:t>
      </w:r>
    </w:p>
    <w:p>
      <w:pPr>
        <w:spacing w:after="200"/>
      </w:pPr>
      <w:r>
        <w:t xml:space="preserve">gegen</w:t>
      </w:r>
    </w:p>
    <w:p>
      <w:pPr>
        <w:spacing w:after="100"/>
      </w:pPr>
      <w:r>
        <w:rPr>
          <w:b/>
          <w:bCs/>
        </w:rPr>
        <w:t xml:space="preserve">Schreinmoor Bauträger AG</w:t>
      </w:r>
      <w:r>
        <w:t xml:space="preserve">, Plagwitzer Allee 1, 04229 Leipzig</w:t>
      </w:r>
    </w:p>
    <w:p>
      <w:pPr>
        <w:spacing w:after="200"/>
      </w:pPr>
      <w:r>
        <w:t xml:space="preserve">— Beklagte —</w:t>
      </w:r>
    </w:p>
    <w:p>
      <w:pPr>
        <w:spacing w:after="400"/>
      </w:pPr>
      <w:r>
        <w:rPr>
          <w:b/>
          <w:bCs/>
        </w:rPr>
        <w:t xml:space="preserve">Prozessbevollmächtigter:</w:t>
      </w:r>
      <w:r>
        <w:t xml:space="preserve"> RA Prof. Dr. Clemens Osterhoff-Bram, Schillerstraße 47, 60313 Frankfurt am Main</w:t>
      </w:r>
    </w:p>
    <w:p>
      <w:pPr>
        <w:spacing w:after="400"/>
      </w:pPr>
      <w:r>
        <w:t xml:space="preserve">hat die 8. Zivilkammer des Landgerichts Leipzig durch die </w:t>
      </w:r>
      <w:r>
        <w:rPr>
          <w:b/>
          <w:bCs/>
        </w:rPr>
        <w:t xml:space="preserve">Vorsitzende Richterin am Landgericht Dr. Tannenberg-Eichmueller</w:t>
      </w:r>
      <w:r>
        <w:t xml:space="preserve">, den </w:t>
      </w:r>
      <w:r>
        <w:rPr>
          <w:b/>
          <w:bCs/>
        </w:rPr>
        <w:t xml:space="preserve">Richter am Landgericht Dr. Roosendaal</w:t>
      </w:r>
      <w:r>
        <w:t xml:space="preserve"> und den </w:t>
      </w:r>
      <w:r>
        <w:rPr>
          <w:b/>
          <w:bCs/>
        </w:rPr>
        <w:t xml:space="preserve">Richteramtsgehilfen Wittfeldt</w:t>
      </w:r>
      <w:r>
        <w:t xml:space="preserve"> aufgrund der mündlichen Verhandlung vom 17. September 2026 am 8. Oktober 2026 für Recht erkannt:</w:t>
      </w:r>
    </w:p>
    <w:p>
      <w:pPr>
        <w:pStyle w:val="Heading2"/>
        <w:spacing w:after="200"/>
      </w:pPr>
      <w:r>
        <w:t xml:space="preserve">TENOR</w:t>
      </w:r>
    </w:p>
    <w:p>
      <w:pPr>
        <w:spacing w:after="200"/>
      </w:pPr>
      <w:r>
        <w:rPr>
          <w:b/>
          <w:bCs/>
        </w:rPr>
        <w:t xml:space="preserve">1.</w:t>
      </w:r>
      <w:r>
        <w:t xml:space="preserve">  Die Beklagte wird verurteilt, an die Klägerin EUR 40.980,00 nebst Zinsen in Höhe von 9 Prozentpunkten über dem Basiszinssatz seit dem 12. Dezember 2025 zu zahlen.</w:t>
      </w:r>
    </w:p>
    <w:p>
      <w:pPr>
        <w:spacing w:after="200"/>
      </w:pPr>
      <w:r>
        <w:rPr>
          <w:b/>
          <w:bCs/>
        </w:rPr>
        <w:t xml:space="preserve">2.</w:t>
      </w:r>
      <w:r>
        <w:t xml:space="preserve">  Im Übrigen wird die Klage abgewiesen.</w:t>
      </w:r>
    </w:p>
    <w:p>
      <w:pPr>
        <w:spacing w:after="200"/>
      </w:pPr>
      <w:r>
        <w:rPr>
          <w:b/>
          <w:bCs/>
        </w:rPr>
        <w:t xml:space="preserve">3.</w:t>
      </w:r>
      <w:r>
        <w:t xml:space="preserve">  Von den Kosten des Rechtsstreits trägt die Klägerin 90%, die Beklagte 10%.</w:t>
      </w:r>
    </w:p>
    <w:p>
      <w:pPr>
        <w:spacing w:after="200"/>
      </w:pPr>
      <w:r>
        <w:rPr>
          <w:b/>
          <w:bCs/>
        </w:rPr>
        <w:t xml:space="preserve">4.</w:t>
      </w:r>
      <w:r>
        <w:t xml:space="preserve">  Das Urteil ist gegen Sicherheitsleistung in Höhe von 110% des jeweils zu vollstreckenden Betrages vorläufig vollstreckbar.</w:t>
      </w:r>
    </w:p>
    <w:p>
      <w:pPr>
        <w:spacing w:after="600"/>
      </w:pPr>
      <w:r>
        <w:rPr>
          <w:b/>
          <w:bCs/>
        </w:rPr>
        <w:t xml:space="preserve">5.</w:t>
      </w:r>
      <w:r>
        <w:t xml:space="preserve">  Der Streitwert wird auf EUR 1.040.680,00 festgesetzt.</w:t>
      </w:r>
    </w:p>
    <w:p>
      <w:pPr>
        <w:pStyle w:val="Heading2"/>
        <w:spacing w:after="200"/>
      </w:pPr>
      <w:r>
        <w:t xml:space="preserve">TATBESTAND</w:t>
      </w:r>
    </w:p>
    <w:p>
      <w:pPr>
        <w:spacing w:after="400"/>
      </w:pPr>
      <w:r>
        <w:t xml:space="preserve">Die Klägerin macht restlichen Werklohn in Höhe von EUR 428.180,00 aus einem Werkvertrag über Rohbauarbeiten an der Wohnanlage "Spreebogen Plagwitz" (32 Wohneinheiten, Plagwitzer Allee 17–23, Leipzig) geltend. Grundlage des Werkvertrages vom 17. März 2022 war die VOB/B 2016; die vereinbarte Vergütung betrug EUR 1.247.840,00. Nach förmlicher Abnahme am 14. Juni 2023 und Abschlagszahlungen von insgesamt EUR 819.660,00 verblieb ein Restbetrag von EUR 428.180,00. Die Beklagte rechnet hilfsweise mit Mangelbeseitigungskosten von EUR 612.500,00 auf (Risse Kelleraußenwände, mangelhafter WU-Beton, fehlende Bewehrung Treppenhaus). Das Gericht hat Beweis erhoben durch Gutachten Prof. Dr.-Ing. Vellbruck (TU Dresden) sowie Vernehmung der Zeugen Eickenmueller und Schwingenstein-Birkenhainer.</w:t>
      </w:r>
    </w:p>
    <w:p>
      <w:pPr>
        <w:spacing w:after="600"/>
      </w:pPr>
      <w:r>
        <w:t xml:space="preserve">Wegen der weiteren Einzelheiten des Sachverhalts wird gemäß § 313 Abs. 2 ZPO auf die Schriftsätze der Parteien nebst Anlagen sowie auf das Protokoll der mündlichen Verhandlung vom 12. Juni 2026 und 17. September 2026 Bezug genommen.</w:t>
      </w:r>
    </w:p>
    <w:p>
      <w:pPr>
        <w:pStyle w:val="Heading2"/>
        <w:spacing w:after="200"/>
      </w:pPr>
      <w:r>
        <w:t xml:space="preserve">ENTSCHEIDUNGSGRÜNDE</w:t>
      </w:r>
    </w:p>
    <w:p>
      <w:pPr>
        <w:spacing w:after="200"/>
      </w:pPr>
      <w:r>
        <w:t xml:space="preserve">A. Die Klage ist in Höhe von EUR 40.980,00 begründet (§§ 631, 641 BGB i.V.m. § 16 Nr. 3 VOB/B); im Übrigen ist sie abzuweisen.</w:t>
      </w:r>
    </w:p>
    <w:p>
      <w:pPr>
        <w:spacing w:after="200"/>
      </w:pPr>
      <w:r>
        <w:t xml:space="preserve">I. Der Werkvertrag vom 17. März 2022 ist unstreitig. Die VOB/B 2016 ist wirksam einbezogen (§ 310 Abs. 1 BGB). Die Abnahme vom 14. Juni 2023 ist nach dem Ergebnis der Beweisaufnahme förmlich gemäß § 12 VOB/B erfolgt. Die Klageforderung EUR 428.180,00 ist fällig.</w:t>
      </w:r>
    </w:p>
    <w:p>
      <w:pPr>
        <w:spacing w:after="200"/>
      </w:pPr>
      <w:r>
        <w:t xml:space="preserve">II. Die Hilfsaufrechnung der Beklagten ist in Höhe von EUR 387.200,00 begründet (§§ 634 Nr. 2, 637 BGB i.V.m. § 13 Nr. 5 Abs. 2 VOB/B). Das Gericht folgt dem Gerichtsgutachten Prof. Vellbruck. Die Mängel (WU-Beton, Kellerrisse, Bewehrungsabweichung Treppenhaus) sind bewiesen. Unter Berücksichtigung eines Mitverursachungsanteils der Beklagten von 23% (§ 254 BGB, § 287 ZPO) verbleiben EUR 387.200,00 als aufrechenbare Gegenforderung.</w:t>
      </w:r>
    </w:p>
    <w:p>
      <w:pPr>
        <w:spacing w:after="200"/>
      </w:pPr>
      <w:r>
        <w:t xml:space="preserve">III. Die Verjährungseinrede der Klägerin ist unbegründet. Die 4-jährige Frist des § 13 Nr. 4 VOB/B läuft ab 14. Juni 2023 und endet am 14. Juni 2027. Keine der gerügten Mängelpositionen ist verjährt.</w:t>
      </w:r>
    </w:p>
    <w:p>
      <w:pPr>
        <w:spacing w:after="600"/>
      </w:pPr>
      <w:r>
        <w:t xml:space="preserve">B. Die Kostenentscheidung beruht auf § 92 ZPO. Die vorläufige Vollstreckbarkeit ergibt sich aus § 709 ZPO.</w:t>
      </w:r>
    </w:p>
    <w:p>
      <w:pPr>
        <w:spacing w:after="100"/>
      </w:pPr>
      <w:r>
        <w:rPr>
          <w:b/>
          <w:bCs/>
        </w:rPr>
        <w:t xml:space="preserve">Dr. Tannenberg-Eichmueller</w:t>
      </w:r>
    </w:p>
    <w:p>
      <w:pPr>
        <w:spacing w:after="100"/>
      </w:pPr>
      <w:r>
        <w:t xml:space="preserve">Vorsitzende Richterin am Landgericht</w:t>
      </w:r>
    </w:p>
    <w:p>
      <w:pPr>
        <w:spacing w:after="100"/>
      </w:pPr>
      <w:r>
        <w:rPr>
          <w:b/>
          <w:bCs/>
        </w:rPr>
        <w:t xml:space="preserve">Dr. Roosendaal</w:t>
      </w:r>
    </w:p>
    <w:p>
      <w:pPr>
        <w:spacing w:after="100"/>
      </w:pPr>
      <w:r>
        <w:t xml:space="preserve">Richter am Landgericht</w:t>
      </w:r>
    </w:p>
    <w:p>
      <w:pPr>
        <w:spacing w:after="100"/>
      </w:pPr>
      <w:r>
        <w:rPr>
          <w:b/>
          <w:bCs/>
        </w:rPr>
        <w:t xml:space="preserve">Wittfeldt</w:t>
      </w:r>
    </w:p>
    <w:p>
      <w:r>
        <w:t xml:space="preserve">Richteramtsgehilfe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Urteil 8 O 188/26 LG Leipzig — Entwurf v3</dc:title>
  <dc:creator>Perplexity Computer</dc:creator>
  <cp:lastModifiedBy>Un-named</cp:lastModifiedBy>
  <cp:revision>1</cp:revision>
  <dcterms:created xsi:type="dcterms:W3CDTF">2026-05-30T21:13:56.118Z</dcterms:created>
  <dcterms:modified xsi:type="dcterms:W3CDTF">2026-05-30T21:13:56.118Z</dcterms:modified>
</cp:coreProperties>
</file>

<file path=docProps/custom.xml><?xml version="1.0" encoding="utf-8"?>
<Properties xmlns="http://schemas.openxmlformats.org/officeDocument/2006/custom-properties" xmlns:vt="http://schemas.openxmlformats.org/officeDocument/2006/docPropsVTypes"/>
</file>