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rFonts w:ascii="Calibri" w:cs="Calibri" w:eastAsia="Calibri" w:hAnsi="Calibri"/>
          <w:b/>
          <w:bCs/>
          <w:sz w:val="28"/>
          <w:szCs w:val="28"/>
        </w:rPr>
        <w:t xml:space="preserve">Kanzlei Schwingenstein-Roosendaal Strafrechtspartner</w:t>
      </w:r>
    </w:p>
    <w:p>
      <w:r>
        <w:rPr>
          <w:rFonts w:ascii="Calibri" w:cs="Calibri" w:eastAsia="Calibri" w:hAnsi="Calibri"/>
          <w:color w:val="555555"/>
          <w:sz w:val="20"/>
          <w:szCs w:val="20"/>
        </w:rPr>
        <w:t xml:space="preserve">RA Lattermann  |  Neuer Wall 63  |  20354 Hamburg</w:t>
      </w:r>
    </w:p>
    <w:p/>
    <w:p>
      <w:r>
        <w:rPr>
          <w:rFonts w:ascii="Calibri" w:cs="Calibri" w:eastAsia="Calibri" w:hAnsi="Calibri"/>
          <w:b/>
          <w:bCs/>
          <w:sz w:val="24"/>
          <w:szCs w:val="24"/>
        </w:rPr>
        <w:t xml:space="preserve">Amtsgericht Hamburg-Altona</w:t>
      </w:r>
    </w:p>
    <w:p>
      <w:r>
        <w:rPr>
          <w:rFonts w:ascii="Calibri" w:cs="Calibri" w:eastAsia="Calibri" w:hAnsi="Calibri"/>
          <w:sz w:val="24"/>
          <w:szCs w:val="24"/>
        </w:rPr>
        <w:t xml:space="preserve">OWi-Abteilung 188</w:t>
      </w:r>
    </w:p>
    <w:p>
      <w:r>
        <w:rPr>
          <w:rFonts w:ascii="Calibri" w:cs="Calibri" w:eastAsia="Calibri" w:hAnsi="Calibri"/>
          <w:sz w:val="24"/>
          <w:szCs w:val="24"/>
        </w:rPr>
        <w:t xml:space="preserve">AZ: 188 OWi 188/26</w:t>
      </w:r>
    </w:p>
    <w:p/>
    <w:p>
      <w:r>
        <w:rPr>
          <w:rFonts w:ascii="Calibri" w:cs="Calibri" w:eastAsia="Calibri" w:hAnsi="Calibri"/>
          <w:i/>
          <w:iCs/>
          <w:sz w:val="24"/>
          <w:szCs w:val="24"/>
        </w:rPr>
        <w:t xml:space="preserve">Hamburg, 05. August 2026</w:t>
      </w:r>
    </w:p>
    <w:p/>
    <w:p>
      <w:pPr>
        <w:jc w:val="center"/>
      </w:pPr>
      <w:r>
        <w:rPr>
          <w:rFonts w:ascii="Calibri" w:cs="Calibri" w:eastAsia="Calibri" w:hAnsi="Calibri"/>
          <w:b/>
          <w:bCs/>
          <w:sz w:val="32"/>
          <w:szCs w:val="32"/>
        </w:rPr>
        <w:t xml:space="preserve">BEWEISANTRAG</w:t>
      </w:r>
    </w:p>
    <w:p>
      <w:pPr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Einholung Sachverständigengutachten Messtechnik</w:t>
      </w:r>
    </w:p>
    <w:p/>
    <w:p>
      <w:r>
        <w:rPr>
          <w:rFonts w:ascii="Calibri" w:cs="Calibri" w:eastAsia="Calibri" w:hAnsi="Calibri"/>
          <w:sz w:val="24"/>
          <w:szCs w:val="24"/>
        </w:rPr>
        <w:t xml:space="preserve">In dem Ordnungswidrigkeitenverfahren gegen Henrik Norderhof-Tannenmoor (AZ 188 OWi 188/26) stelle ich namens des Betroffenen folgenden</w:t>
      </w:r>
    </w:p>
    <w:p/>
    <w:p>
      <w:pPr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B E W E I S A N T R A G</w:t>
      </w:r>
    </w:p>
    <w:p/>
    <w:p>
      <w:r>
        <w:rPr>
          <w:rFonts w:ascii="Calibri" w:cs="Calibri" w:eastAsia="Calibri" w:hAnsi="Calibri"/>
          <w:sz w:val="24"/>
          <w:szCs w:val="24"/>
        </w:rPr>
        <w:t xml:space="preserve">Es wird beantragt, zum Beweis der nachstehenden Tatsachen ein Sachverständigengutachten einzuholen und den Sachverständigen</w:t>
      </w:r>
    </w:p>
    <w:p>
      <w:r>
        <w:rPr>
          <w:rFonts w:ascii="Calibri" w:cs="Calibri" w:eastAsia="Calibri" w:hAnsi="Calibri"/>
          <w:b/>
          <w:bCs/>
          <w:sz w:val="24"/>
          <w:szCs w:val="24"/>
        </w:rPr>
        <w:t xml:space="preserve">Dipl.-Ing. Rainer Pohlmann-Wittfeldt, Büro für Kfz-Technik und Messtechnik, Sandstraße 17, 23552 Lübeck</w:t>
      </w:r>
    </w:p>
    <w:p>
      <w:r>
        <w:rPr>
          <w:rFonts w:ascii="Calibri" w:cs="Calibri" w:eastAsia="Calibri" w:hAnsi="Calibri"/>
          <w:sz w:val="24"/>
          <w:szCs w:val="24"/>
        </w:rPr>
        <w:t xml:space="preserve">(öffentlich bestellt und beeidigt durch IHK zu Lübeck)</w:t>
      </w:r>
    </w:p>
    <w:p>
      <w:r>
        <w:rPr>
          <w:rFonts w:ascii="Calibri" w:cs="Calibri" w:eastAsia="Calibri" w:hAnsi="Calibri"/>
          <w:sz w:val="24"/>
          <w:szCs w:val="24"/>
        </w:rPr>
        <w:t xml:space="preserve">zu beauftragen.</w:t>
      </w:r>
    </w:p>
    <w:p/>
    <w:p>
      <w:r>
        <w:rPr>
          <w:rFonts w:ascii="Calibri" w:cs="Calibri" w:eastAsia="Calibri" w:hAnsi="Calibri"/>
          <w:b/>
          <w:bCs/>
          <w:sz w:val="26"/>
          <w:szCs w:val="26"/>
        </w:rPr>
        <w:t xml:space="preserve">Beweisthema 1 — BAMV-Aufstellungskonformität</w:t>
      </w:r>
    </w:p>
    <w:p>
      <w:r>
        <w:rPr>
          <w:rFonts w:ascii="Calibri" w:cs="Calibri" w:eastAsia="Calibri" w:hAnsi="Calibri"/>
          <w:b/>
          <w:bCs/>
          <w:sz w:val="24"/>
          <w:szCs w:val="24"/>
        </w:rPr>
        <w:t xml:space="preserve">Beweistatsache:</w:t>
      </w:r>
      <w:r>
        <w:rPr>
          <w:rFonts w:ascii="Calibri" w:cs="Calibri" w:eastAsia="Calibri" w:hAnsi="Calibri"/>
          <w:sz w:val="24"/>
          <w:szCs w:val="24"/>
        </w:rPr>
        <w:t xml:space="preserve"> Die BAMV-Anlage LB-7000 (SN: LB7-22-00447) an der BAB 7 km 187,4 war am 04.02.2026 nicht in einer der PTB-Zulassung entsprechenden Aufstellungskonfiguration betrieben. Die festgestellte Längsneigung von 1,8 % überschreitet den Grenzwert der PTB-Zulassung Nr. 49.01/22.017 (max. 1,0 %) um 0,8 Prozentpunkte.</w:t>
      </w:r>
    </w:p>
    <w:p/>
    <w:p>
      <w:r>
        <w:rPr>
          <w:rFonts w:ascii="Calibri" w:cs="Calibri" w:eastAsia="Calibri" w:hAnsi="Calibri"/>
          <w:b/>
          <w:bCs/>
          <w:sz w:val="26"/>
          <w:szCs w:val="26"/>
        </w:rPr>
        <w:t xml:space="preserve">Beweisthema 2 — Fahreridentifizierung Frontfoto</w:t>
      </w:r>
    </w:p>
    <w:p>
      <w:r>
        <w:rPr>
          <w:rFonts w:ascii="Calibri" w:cs="Calibri" w:eastAsia="Calibri" w:hAnsi="Calibri"/>
          <w:b/>
          <w:bCs/>
          <w:sz w:val="24"/>
          <w:szCs w:val="24"/>
        </w:rPr>
        <w:t xml:space="preserve">Beweistatsache:</w:t>
      </w:r>
      <w:r>
        <w:rPr>
          <w:rFonts w:ascii="Calibri" w:cs="Calibri" w:eastAsia="Calibri" w:hAnsi="Calibri"/>
          <w:sz w:val="24"/>
          <w:szCs w:val="24"/>
        </w:rPr>
        <w:t xml:space="preserve"> Das Frontfoto der Section-Control-Anlage (Portal A, 14:21:21 Uhr) ist technisch nicht geeignet, um den Fahrer des Sattelzuges HH-NS 3201 als Henrik Norderhof-Tannenmoor zu identifizieren. Die effektive Gesichtsfläche beträgt nur 14×18 Pixel; dies unterschreitet die NIST-Mindestanforderungen für eine gerichtsfeste Erkennung (90×90 Pixel) erheblich.</w:t>
      </w:r>
    </w:p>
    <w:p/>
    <w:p>
      <w:r>
        <w:rPr>
          <w:rFonts w:ascii="Calibri" w:cs="Calibri" w:eastAsia="Calibri" w:hAnsi="Calibri"/>
          <w:b/>
          <w:bCs/>
          <w:sz w:val="26"/>
          <w:szCs w:val="26"/>
        </w:rPr>
        <w:t xml:space="preserve">Beweisthema 3 — Toleranzgrenzen BAMV</w:t>
      </w:r>
    </w:p>
    <w:p>
      <w:r>
        <w:rPr>
          <w:rFonts w:ascii="Calibri" w:cs="Calibri" w:eastAsia="Calibri" w:hAnsi="Calibri"/>
          <w:b/>
          <w:bCs/>
          <w:sz w:val="24"/>
          <w:szCs w:val="24"/>
        </w:rPr>
        <w:t xml:space="preserve">Beweistatsache:</w:t>
      </w:r>
      <w:r>
        <w:rPr>
          <w:rFonts w:ascii="Calibri" w:cs="Calibri" w:eastAsia="Calibri" w:hAnsi="Calibri"/>
          <w:sz w:val="24"/>
          <w:szCs w:val="24"/>
        </w:rPr>
        <w:t xml:space="preserve"> Das BAMV-System LB-7000 weist unter den am 04.02.2026 herrschenden Bedingungen (Temperatur +3°C, Luftfeuchte 82 %, 32-t-Sattelzug) eine systembedingte Abstandsmessabweichung von bis zu ±3 m auf; zuzüglich des Aufstellungsfehlers ergibt sich eine Gesamtmessabweichung von ±5–6 m.</w:t>
      </w:r>
    </w:p>
    <w:p/>
    <w:p>
      <w:r>
        <w:rPr>
          <w:rFonts w:ascii="Calibri" w:cs="Calibri" w:eastAsia="Calibri" w:hAnsi="Calibri"/>
          <w:b/>
          <w:bCs/>
          <w:sz w:val="26"/>
          <w:szCs w:val="26"/>
        </w:rPr>
        <w:t xml:space="preserve">Beweisthema 4 — Tateinheit BAMV und Section Control</w:t>
      </w:r>
    </w:p>
    <w:p>
      <w:r>
        <w:rPr>
          <w:rFonts w:ascii="Calibri" w:cs="Calibri" w:eastAsia="Calibri" w:hAnsi="Calibri"/>
          <w:b/>
          <w:bCs/>
          <w:sz w:val="24"/>
          <w:szCs w:val="24"/>
        </w:rPr>
        <w:t xml:space="preserve">Beweistatsache:</w:t>
      </w:r>
      <w:r>
        <w:rPr>
          <w:rFonts w:ascii="Calibri" w:cs="Calibri" w:eastAsia="Calibri" w:hAnsi="Calibri"/>
          <w:sz w:val="24"/>
          <w:szCs w:val="24"/>
        </w:rPr>
        <w:t xml:space="preserve"> Der BAMV-Messzeitpunkt 14:22:08 Uhr fällt in den Section-Control-Abschnitt (Einfahrt 14:21:21, Ausfahrt 14:22:50). Beide Verstöße bilden eine einheitliche Handlung (§ 19 OWiG).</w:t>
      </w:r>
    </w:p>
    <w:p/>
    <w:p>
      <w:r>
        <w:rPr>
          <w:rFonts w:ascii="Calibri" w:cs="Calibri" w:eastAsia="Calibri" w:hAnsi="Calibri"/>
          <w:i/>
          <w:iCs/>
          <w:sz w:val="24"/>
          <w:szCs w:val="24"/>
        </w:rPr>
        <w:t xml:space="preserve">Der Sachverständige steht für eine Aussage in der Hauptverhandlung am 24.10.2026 zur Verfügung.</w:t>
      </w:r>
    </w:p>
    <w:p/>
    <w:p>
      <w:r>
        <w:rPr>
          <w:rFonts w:ascii="Calibri" w:cs="Calibri" w:eastAsia="Calibri" w:hAnsi="Calibri"/>
          <w:sz w:val="24"/>
          <w:szCs w:val="24"/>
        </w:rPr>
        <w:t xml:space="preserve">Mit freundlichen Grüßen</w:t>
      </w:r>
    </w:p>
    <w:p/>
    <w:p>
      <w:r>
        <w:rPr>
          <w:rFonts w:ascii="Calibri" w:cs="Calibri" w:eastAsia="Calibri" w:hAnsi="Calibri"/>
          <w:b/>
          <w:bCs/>
          <w:sz w:val="24"/>
          <w:szCs w:val="24"/>
        </w:rPr>
        <w:t xml:space="preserve">RA Lattermann</w:t>
      </w:r>
    </w:p>
    <w:sectPr>
      <w:pgSz w:w="11906" w:h="16838" w:orient="portrait"/>
      <w:pgMar w:top="1418" w:right="1134" w:bottom="1134" w:left="1701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2026-05-30T21:20:24.499Z</dcterms:created>
  <dcterms:modified xsi:type="dcterms:W3CDTF">2026-05-30T21:20:24.500Z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