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Kanzlei Schwingenstein-Roosendaal Strafrechtspartner</w:t>
      </w:r>
    </w:p>
    <w:p>
      <w:r>
        <w:rPr>
          <w:rFonts w:ascii="Calibri" w:cs="Calibri" w:eastAsia="Calibri" w:hAnsi="Calibri"/>
          <w:color w:val="555555"/>
          <w:sz w:val="20"/>
          <w:szCs w:val="20"/>
        </w:rPr>
        <w:t xml:space="preserve">RA Lattermann  |  Neuer Wall 63  |  20354 Hamburg</w:t>
      </w:r>
    </w:p>
    <w:p>
      <w:r>
        <w:rPr>
          <w:rFonts w:ascii="Calibri" w:cs="Calibri" w:eastAsia="Calibri" w:hAnsi="Calibri"/>
          <w:color w:val="555555"/>
          <w:sz w:val="20"/>
          <w:szCs w:val="20"/>
        </w:rPr>
        <w:t xml:space="preserve">Tel.: +49 40 6688-2200  |  Fax: +49 40 6688-2210  |  lattermann@schwingenstein-roosendaal.de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An das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Amtsgericht Hamburg-Altona</w:t>
      </w:r>
    </w:p>
    <w:p>
      <w:r>
        <w:rPr>
          <w:rFonts w:ascii="Calibri" w:cs="Calibri" w:eastAsia="Calibri" w:hAnsi="Calibri"/>
          <w:sz w:val="24"/>
          <w:szCs w:val="24"/>
        </w:rPr>
        <w:t xml:space="preserve">OWi-Abteilung 188</w:t>
      </w:r>
    </w:p>
    <w:p>
      <w:r>
        <w:rPr>
          <w:rFonts w:ascii="Calibri" w:cs="Calibri" w:eastAsia="Calibri" w:hAnsi="Calibri"/>
          <w:sz w:val="24"/>
          <w:szCs w:val="24"/>
        </w:rPr>
        <w:t xml:space="preserve">Max-Brauer-Allee 91</w:t>
      </w:r>
    </w:p>
    <w:p>
      <w:r>
        <w:rPr>
          <w:rFonts w:ascii="Calibri" w:cs="Calibri" w:eastAsia="Calibri" w:hAnsi="Calibri"/>
          <w:sz w:val="24"/>
          <w:szCs w:val="24"/>
        </w:rPr>
        <w:t xml:space="preserve">22765 Hamburg</w:t>
      </w:r>
    </w:p>
    <w:p/>
    <w:p>
      <w:r>
        <w:rPr>
          <w:rFonts w:ascii="Calibri" w:cs="Calibri" w:eastAsia="Calibri" w:hAnsi="Calibri"/>
          <w:i/>
          <w:iCs/>
          <w:sz w:val="24"/>
          <w:szCs w:val="24"/>
        </w:rPr>
        <w:t xml:space="preserve">Hamburg, 15. April 2026</w:t>
      </w:r>
    </w:p>
    <w:p/>
    <w:p>
      <w:pPr>
        <w:jc w:val="center"/>
      </w:pPr>
      <w:r>
        <w:rPr>
          <w:rFonts w:ascii="Calibri" w:cs="Calibri" w:eastAsia="Calibri" w:hAnsi="Calibri"/>
          <w:b/>
          <w:bCs/>
          <w:sz w:val="32"/>
          <w:szCs w:val="32"/>
        </w:rPr>
        <w:t xml:space="preserve">EINSPRUCHSSCHRIFT</w:t>
      </w:r>
    </w:p>
    <w:p>
      <w:pPr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In der Ordnungswidrigkeitensache gegen</w:t>
      </w:r>
    </w:p>
    <w:p>
      <w:pPr>
        <w:jc w:val="center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Henrik Norderhof-Tannenmoor, geb. 17.09.1978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wegen fahrlässiger Unterschreitung des Mindestabstands (§ 4 Abs. 1 StVO)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Aktenzeichen Bußgeldstelle:</w:t>
      </w:r>
      <w:r>
        <w:rPr>
          <w:rFonts w:ascii="Calibri" w:cs="Calibri" w:eastAsia="Calibri" w:hAnsi="Calibri"/>
          <w:b/>
          <w:bCs/>
          <w:sz w:val="24"/>
          <w:szCs w:val="24"/>
        </w:rPr>
        <w:t xml:space="preserve"> NIBOWS-188-A-4711-26</w:t>
      </w:r>
    </w:p>
    <w:p>
      <w:r>
        <w:rPr>
          <w:rFonts w:ascii="Calibri" w:cs="Calibri" w:eastAsia="Calibri" w:hAnsi="Calibri"/>
          <w:sz w:val="24"/>
          <w:szCs w:val="24"/>
        </w:rPr>
        <w:t xml:space="preserve">Bußgeldbescheid vom:</w:t>
      </w:r>
      <w:r>
        <w:rPr>
          <w:rFonts w:ascii="Calibri" w:cs="Calibri" w:eastAsia="Calibri" w:hAnsi="Calibri"/>
          <w:b/>
          <w:bCs/>
          <w:sz w:val="24"/>
          <w:szCs w:val="24"/>
        </w:rPr>
        <w:t xml:space="preserve"> 25. März 2026, zugestellt 27. März 2026</w:t>
      </w:r>
    </w:p>
    <w:p>
      <w:r>
        <w:rPr>
          <w:rFonts w:ascii="Calibri" w:cs="Calibri" w:eastAsia="Calibri" w:hAnsi="Calibri"/>
          <w:sz w:val="24"/>
          <w:szCs w:val="24"/>
        </w:rPr>
        <w:t xml:space="preserve">Unser Aktenzeichen:</w:t>
      </w:r>
      <w:r>
        <w:rPr>
          <w:rFonts w:ascii="Calibri" w:cs="Calibri" w:eastAsia="Calibri" w:hAnsi="Calibri"/>
          <w:b/>
          <w:bCs/>
          <w:sz w:val="24"/>
          <w:szCs w:val="24"/>
        </w:rPr>
        <w:t xml:space="preserve"> ML-2026-OWi-0188</w:t>
      </w:r>
    </w:p>
    <w:p/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I. Einspruch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Namens und in Vollmacht des Betroffenen lege ich gegen den Bußgeldbescheid der Bußgeldstelle Land Niedersachsen vom 25.03.2026, AZ NIBOWS-188-A-4711-26, fristgerecht</w:t>
      </w:r>
    </w:p>
    <w:p/>
    <w:p>
      <w:pPr>
        <w:jc w:val="center"/>
      </w:pPr>
      <w:r>
        <w:rPr>
          <w:rFonts w:ascii="Calibri" w:cs="Calibri" w:eastAsia="Calibri" w:hAnsi="Calibri"/>
          <w:b/>
          <w:bCs/>
          <w:sz w:val="32"/>
          <w:szCs w:val="32"/>
        </w:rPr>
        <w:t xml:space="preserve">E I N S P R U C H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ein.</w:t>
      </w:r>
    </w:p>
    <w:p/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II. Begründung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A. Verjährungseinwand (§ 26 Abs. 3 StVG)</w:t>
      </w:r>
    </w:p>
    <w:p>
      <w:r>
        <w:rPr>
          <w:rFonts w:ascii="Calibri" w:cs="Calibri" w:eastAsia="Calibri" w:hAnsi="Calibri"/>
          <w:sz w:val="24"/>
          <w:szCs w:val="24"/>
        </w:rPr>
        <w:t xml:space="preserve">Der Anhörungsbogen vom 07.02.2026 war an die Norderhof Spedition GmbH als Fahrzeughalterin adressiert. Eine persönliche Zustellung an den Betroffenen Henrik Norderhof-Tannenmoor als Fahrer erfolgte nicht. Die Verjährungsunterbrechung gemäß § 33 Abs. 1 Nr. 1 OWiG wirkt nur gegenüber dem Adressaten; gegenüber dem Fahrer ist die Verjährung nicht sicher unterbrochen worden.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B. Abstandsmessung BAMV — Standardisierungsmangel</w:t>
      </w:r>
    </w:p>
    <w:p>
      <w:r>
        <w:rPr>
          <w:rFonts w:ascii="Calibri" w:cs="Calibri" w:eastAsia="Calibri" w:hAnsi="Calibri"/>
          <w:sz w:val="24"/>
          <w:szCs w:val="24"/>
        </w:rPr>
        <w:t xml:space="preserve">Der beauftragte Sachverständige Dipl.-Ing. Pohlmann-Wittfeldt hat festgestellt, dass die BAMV-Anlage an der Brücke Bispingen-Nord in einem Längsneigungswinkel von 1,8 % betrieben wurde. Die PTB-Zulassung Nr. 49.01/22.017 sieht als zulässige Längsneigung maximal 1,0 % vor. Damit handelt es sich nicht um ein standardisiertes Verfahren. Das Messergebnis von 28 m ist mit einer Messabweichung von bis zu ± 4 m behaftet.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C. Fahreridentifizierung</w:t>
      </w:r>
    </w:p>
    <w:p>
      <w:r>
        <w:rPr>
          <w:rFonts w:ascii="Calibri" w:cs="Calibri" w:eastAsia="Calibri" w:hAnsi="Calibri"/>
          <w:sz w:val="24"/>
          <w:szCs w:val="24"/>
        </w:rPr>
        <w:t xml:space="preserve">Das Frontfoto der Section-Control-Anlage weist eine effektive Gesichtsfläche von nur 14×18 Pixeln auf. Eine gerichtsfeste Identifizierung ist technisch ausgeschlossen (vgl. NIST FRVT-Mindestanforderungen: 90×90 Pixel). Es gilt der Grundsatz in dubio pro reo.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D. Tateinheit (§ 19 OWiG)</w:t>
      </w:r>
    </w:p>
    <w:p>
      <w:r>
        <w:rPr>
          <w:rFonts w:ascii="Calibri" w:cs="Calibri" w:eastAsia="Calibri" w:hAnsi="Calibri"/>
          <w:sz w:val="24"/>
          <w:szCs w:val="24"/>
        </w:rPr>
        <w:t xml:space="preserve">Abstandsverstoß und Geschwindigkeitsverstoß bilden eine einheitliche Handlung und können nicht doppelt sanktioniert werden.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E. Hilfsantrag: Absehen vom Fahrverbot</w:t>
      </w:r>
    </w:p>
    <w:p>
      <w:r>
        <w:rPr>
          <w:rFonts w:ascii="Calibri" w:cs="Calibri" w:eastAsia="Calibri" w:hAnsi="Calibri"/>
          <w:sz w:val="24"/>
          <w:szCs w:val="24"/>
        </w:rPr>
        <w:t xml:space="preserve">Für den Fall einer Verurteilung wird gemäß § 4 Abs. 4 BKatV beantragt, von der Anordnung des Regelfahrverbots abzusehen. Der Betroffene ist alleiniger Geschäftsführer der Norderhof Spedition GmbH (38 Mitarbeitende; Jahresumsatz ca. 7,2 Mio. EUR). Ein Fahrverbot würde die Betriebsführung existenzgefährdend beeinträchtigen. Belege werden zur Hauptverhandlung vorgelegt.</w:t>
      </w:r>
    </w:p>
    <w:p/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III. Beweisanträge</w:t>
      </w:r>
    </w:p>
    <w:p>
      <w:r>
        <w:rPr>
          <w:rFonts w:ascii="Calibri" w:cs="Calibri" w:eastAsia="Calibri" w:hAnsi="Calibri"/>
          <w:sz w:val="24"/>
          <w:szCs w:val="24"/>
        </w:rPr>
        <w:t xml:space="preserve">1. Einholung eines Sachverständigengutachtens zur BAMV-Messtechnik (SV Pohlmann-Wittfeldt, Lübeck).</w:t>
      </w:r>
    </w:p>
    <w:p>
      <w:r>
        <w:rPr>
          <w:rFonts w:ascii="Calibri" w:cs="Calibri" w:eastAsia="Calibri" w:hAnsi="Calibri"/>
          <w:sz w:val="24"/>
          <w:szCs w:val="24"/>
        </w:rPr>
        <w:t xml:space="preserve">2. Übermittlung des Frontfotos in maximal verfügbarer Auflösung.</w:t>
      </w:r>
    </w:p>
    <w:p>
      <w:r>
        <w:rPr>
          <w:rFonts w:ascii="Calibri" w:cs="Calibri" w:eastAsia="Calibri" w:hAnsi="Calibri"/>
          <w:sz w:val="24"/>
          <w:szCs w:val="24"/>
        </w:rPr>
        <w:t xml:space="preserve">3. Inaugenscheinnahme der vollständigen Messreihe 188 im Original-Dateiformat.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Mit freundlichen Grüßen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RA Lattermann</w:t>
      </w:r>
    </w:p>
    <w:p>
      <w:r>
        <w:rPr>
          <w:rFonts w:ascii="Calibri" w:cs="Calibri" w:eastAsia="Calibri" w:hAnsi="Calibri"/>
          <w:sz w:val="24"/>
          <w:szCs w:val="24"/>
        </w:rPr>
        <w:t xml:space="preserve">Kanzlei Schwingenstein-Roosendaal Strafrechtspartner</w:t>
      </w:r>
    </w:p>
    <w:sectPr>
      <w:pgSz w:w="11906" w:h="16838" w:orient="portrait"/>
      <w:pgMar w:top="1418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2026-05-30T21:19:46.844Z</dcterms:created>
  <dcterms:modified xsi:type="dcterms:W3CDTF">2026-05-30T21:19:46.844Z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