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rFonts w:ascii="Calibri" w:cs="Calibri" w:eastAsia="Calibri" w:hAnsi="Calibri"/>
          <w:b/>
          <w:bCs/>
          <w:sz w:val="36"/>
          <w:szCs w:val="36"/>
        </w:rPr>
        <w:t xml:space="preserve">MANDANTENMEMO</w:t>
      </w:r>
    </w:p>
    <w:p>
      <w:pPr>
        <w:jc w:val="center"/>
      </w:pPr>
      <w:r>
        <w:rPr>
          <w:rFonts w:ascii="Calibri" w:cs="Calibri" w:eastAsia="Calibri" w:hAnsi="Calibri"/>
          <w:i/>
          <w:iCs/>
          <w:sz w:val="26"/>
          <w:szCs w:val="26"/>
        </w:rPr>
        <w:t xml:space="preserve">Fahrverbot, Existenzgefährdung und Verteidigungsstrategie</w:t>
      </w:r>
    </w:p>
    <w:p/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Kanzlei Schwingenstein-Roosendaal Strafrechtspartner</w:t>
      </w:r>
    </w:p>
    <w:p>
      <w:r>
        <w:rPr>
          <w:rFonts w:ascii="Calibri" w:cs="Calibri" w:eastAsia="Calibri" w:hAnsi="Calibri"/>
          <w:color w:val="555555"/>
          <w:sz w:val="24"/>
          <w:szCs w:val="24"/>
        </w:rPr>
        <w:t xml:space="preserve">RA Lattermann  |  AZ ML-2026-OWi-0188  |  Stand: Oktober 2026</w:t>
      </w:r>
    </w:p>
    <w:p/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1. Zusammenfassung des Verfahrens</w:t>
      </w:r>
    </w:p>
    <w:p>
      <w:r>
        <w:rPr>
          <w:rFonts w:ascii="Calibri" w:cs="Calibri" w:eastAsia="Calibri" w:hAnsi="Calibri"/>
          <w:sz w:val="24"/>
          <w:szCs w:val="24"/>
        </w:rPr>
        <w:t xml:space="preserve">Sehr geehrter Herr Norderhof-Tannenmoor,</w:t>
      </w:r>
    </w:p>
    <w:p>
      <w:r>
        <w:rPr>
          <w:rFonts w:ascii="Calibri" w:cs="Calibri" w:eastAsia="Calibri" w:hAnsi="Calibri"/>
          <w:sz w:val="24"/>
          <w:szCs w:val="24"/>
        </w:rPr>
        <w:t xml:space="preserve">dieses Memo fasst den aktuellen Verfahrensstand, unsere Verteidigungsstrategie und die möglichen Ausgangsvarianten für die Hauptverhandlung am 24.10.2026 vor dem AG Hamburg-Altona (188 OWi 188/26) zusammen.</w:t>
      </w:r>
    </w:p>
    <w:p/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2. Vorwurf und Sanktionsrahmen</w:t>
      </w:r>
    </w:p>
    <w:p>
      <w:r>
        <w:rPr>
          <w:rFonts w:ascii="Calibri" w:cs="Calibri" w:eastAsia="Calibri" w:hAnsi="Calibri"/>
          <w:sz w:val="24"/>
          <w:szCs w:val="24"/>
        </w:rPr>
        <w:t xml:space="preserve">Vorwurf 1 — Abstandsunterschreitung: Gemessen 28 m, erforderlich 50 m (§ 4 Abs. 1 StVO). Regelbuße 240 EUR, 2 Punkte FAER, 1 Monat Fahrverbot.</w:t>
      </w:r>
    </w:p>
    <w:p>
      <w:r>
        <w:rPr>
          <w:rFonts w:ascii="Calibri" w:cs="Calibri" w:eastAsia="Calibri" w:hAnsi="Calibri"/>
          <w:sz w:val="24"/>
          <w:szCs w:val="24"/>
        </w:rPr>
        <w:t xml:space="preserve">Vorwurf 2 — Geschwindigkeit: 114 km/h (nach Toleranz) statt 100 km/h. Wird als Tateinheit mit Vorwurf 1 behandelt.</w:t>
      </w:r>
    </w:p>
    <w:p/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3. Unsere Verteidigungslinien</w:t>
      </w:r>
    </w:p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Linie A — BAMV-Messtechnik (stark):</w:t>
      </w:r>
      <w:r>
        <w:rPr>
          <w:rFonts w:ascii="Calibri" w:cs="Calibri" w:eastAsia="Calibri" w:hAnsi="Calibri"/>
          <w:sz w:val="24"/>
          <w:szCs w:val="24"/>
        </w:rPr>
        <w:t xml:space="preserve"> SV Pohlmann-Wittfeldt hat eine Längsneigung der Brückenanlage von 1,8 % nachgewiesen — die PTB-Zulassung erlaubt maximal 1,0 %. Damit ist die Messung nicht standardisiert. Das Gericht muss die Messung individuell bewerten.</w:t>
      </w:r>
    </w:p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Linie B — Fahreridentifizierung (stark):</w:t>
      </w:r>
      <w:r>
        <w:rPr>
          <w:rFonts w:ascii="Calibri" w:cs="Calibri" w:eastAsia="Calibri" w:hAnsi="Calibri"/>
          <w:sz w:val="24"/>
          <w:szCs w:val="24"/>
        </w:rPr>
        <w:t xml:space="preserve"> Das Frontfoto weist nur 14×18 Pixel im Gesichtsbereich auf. Eine sichere Identifizierung ist technisch ausgeschlossen. Sollten Sie die Fahrereigenschaft bestreiten, ist ein Freispruch möglich.</w:t>
      </w:r>
    </w:p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Linie C — Existenzgefährdung (mittel-stark):</w:t>
      </w:r>
      <w:r>
        <w:rPr>
          <w:rFonts w:ascii="Calibri" w:cs="Calibri" w:eastAsia="Calibri" w:hAnsi="Calibri"/>
          <w:sz w:val="24"/>
          <w:szCs w:val="24"/>
        </w:rPr>
        <w:t xml:space="preserve"> Als alleiniger GF der Norderhof Spedition GmbH mit 38 Mitarbeitenden und der Continental-Problematik ist die Existenzgefährdung konkret und belegt. Das Absehen vom Fahrverbot erscheint realistisch.</w:t>
      </w:r>
    </w:p>
    <w:p/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4. Szenarien und Empfehlung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Szenario</w:t>
            </w:r>
          </w:p>
        </w:tc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Ergebnis</w:t>
            </w:r>
          </w:p>
        </w:tc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Wahrscheinlichkeit</w:t>
            </w:r>
          </w:p>
        </w:tc>
      </w:tr>
      <w:tr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Freispruch (Fahreridentifizierung)</w:t>
            </w:r>
          </w:p>
        </w:tc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0 EUR, 0 Punkte, kein Fahrverbot</w:t>
            </w:r>
          </w:p>
        </w:tc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Niedrig (Sie bestätigen Fahrereigenschaft)</w:t>
            </w:r>
          </w:p>
        </w:tc>
      </w:tr>
      <w:tr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Verurteilung ohne Fahrverbot</w:t>
            </w:r>
          </w:p>
        </w:tc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240 EUR + 2 Punkte</w:t>
            </w:r>
          </w:p>
        </w:tc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Hoch (Existenzgefährdung anerkannt)</w:t>
            </w:r>
          </w:p>
        </w:tc>
      </w:tr>
      <w:tr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Verurteilung mit Fahrverbot</w:t>
            </w:r>
          </w:p>
        </w:tc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240 EUR + 2 Punkte + 1 Monat FV</w:t>
            </w:r>
          </w:p>
        </w:tc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Mittel (falls Gericht Existenzgef. ablehnt)</w:t>
            </w:r>
          </w:p>
        </w:tc>
      </w:tr>
      <w:tr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Vergleich: 480 EUR + kein Fahrverbot</w:t>
            </w:r>
          </w:p>
        </w:tc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Doppeltes Bußgeld, sicher kein FV</w:t>
            </w:r>
          </w:p>
        </w:tc>
        <w:tc>
          <w:tcPr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Als Rückfallposition akzeptabel</w:t>
            </w:r>
          </w:p>
        </w:tc>
      </w:tr>
    </w:tbl>
    <w:p/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5. Handlungsempfehlungen</w:t>
      </w:r>
    </w:p>
    <w:p>
      <w:r>
        <w:rPr>
          <w:rFonts w:ascii="Calibri" w:cs="Calibri" w:eastAsia="Calibri" w:hAnsi="Calibri"/>
          <w:sz w:val="24"/>
          <w:szCs w:val="24"/>
        </w:rPr>
        <w:t xml:space="preserve">1. Belege zur Existenzgefährdung vollständig vorbereiten (Handelsregister, G+V, Continental-Schreiben, Prokuristen-Erklärung).</w:t>
      </w:r>
    </w:p>
    <w:p>
      <w:r>
        <w:rPr>
          <w:rFonts w:ascii="Calibri" w:cs="Calibri" w:eastAsia="Calibri" w:hAnsi="Calibri"/>
          <w:sz w:val="24"/>
          <w:szCs w:val="24"/>
        </w:rPr>
        <w:t xml:space="preserve">2. Erscheinen zur Hauptverhandlung am 24.10.2026 um 09:00 Uhr (Treffpunkt Foyer AG Hamburg-Altona).</w:t>
      </w:r>
    </w:p>
    <w:p>
      <w:r>
        <w:rPr>
          <w:rFonts w:ascii="Calibri" w:cs="Calibri" w:eastAsia="Calibri" w:hAnsi="Calibri"/>
          <w:sz w:val="24"/>
          <w:szCs w:val="24"/>
        </w:rPr>
        <w:t xml:space="preserve">3. Keine eigenen Äußerungen zur Messung ohne Rücksprache mit der Kanzlei.</w:t>
      </w:r>
    </w:p>
    <w:p>
      <w:r>
        <w:rPr>
          <w:rFonts w:ascii="Calibri" w:cs="Calibri" w:eastAsia="Calibri" w:hAnsi="Calibri"/>
          <w:sz w:val="24"/>
          <w:szCs w:val="24"/>
        </w:rPr>
        <w:t xml:space="preserve">4. Auf Richterfrage zu Fahrereigenschaft: Wahrheit sagen. Vorteil bei Identifizierungsfrage wurde durch Eigenaussage eingebüßt; Fokus liegt auf Absehen Fahrverbot.</w:t>
      </w:r>
    </w:p>
    <w:p/>
    <w:p>
      <w:r>
        <w:rPr>
          <w:rFonts w:ascii="Calibri" w:cs="Calibri" w:eastAsia="Calibri" w:hAnsi="Calibri"/>
          <w:sz w:val="24"/>
          <w:szCs w:val="24"/>
        </w:rPr>
        <w:t xml:space="preserve">Mit freundlichen Grüßen</w:t>
      </w:r>
    </w:p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RA Lattermann</w:t>
      </w:r>
    </w:p>
    <w:p>
      <w:r>
        <w:rPr>
          <w:rFonts w:ascii="Calibri" w:cs="Calibri" w:eastAsia="Calibri" w:hAnsi="Calibri"/>
          <w:sz w:val="24"/>
          <w:szCs w:val="24"/>
        </w:rPr>
        <w:t xml:space="preserve">Kanzlei Schwingenstein-Roosendaal Strafrechtspartner</w:t>
      </w:r>
    </w:p>
    <w:sectPr>
      <w:pgSz w:w="11906" w:h="16838" w:orient="portrait"/>
      <w:pgMar w:top="1418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2026-05-30T21:21:09.705Z</dcterms:created>
  <dcterms:modified xsi:type="dcterms:W3CDTF">2026-05-30T21:21:09.706Z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