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Calibri" w:cs="Calibri" w:eastAsia="Calibri" w:hAnsi="Calibri"/>
          <w:b/>
          <w:bCs/>
          <w:color w:val="1F3864"/>
          <w:sz w:val="32"/>
          <w:szCs w:val="32"/>
        </w:rPr>
        <w:t xml:space="preserve">Kanzlei Hoffmann Verkehrsrecht</w:t>
      </w:r>
    </w:p>
    <w:p>
      <w:pPr>
        <w:spacing w:after="400"/>
      </w:pPr>
      <w:r>
        <w:rPr>
          <w:rFonts w:ascii="Calibri" w:cs="Calibri" w:eastAsia="Calibri" w:hAnsi="Calibri"/>
          <w:color w:val="777777"/>
          <w:sz w:val="20"/>
          <w:szCs w:val="20"/>
        </w:rPr>
        <w:t xml:space="preserve">Altenaer Straße 112 · 58507 Lüdenscheid · Tel.: 02351/47 83 20</w:t>
      </w:r>
    </w:p>
    <w:p>
      <w:pPr>
        <w:pBdr>
          <w:bottom w:val="single" w:color="444444" w:sz="6"/>
        </w:pBdr>
        <w:spacing w:after="200"/>
      </w:pPr>
    </w:p>
    <w:p>
      <w:pPr>
        <w:spacing w:after="60" w:before="300"/>
      </w:pPr>
      <w:r>
        <w:rPr>
          <w:rFonts w:ascii="Calibri" w:cs="Calibri" w:eastAsia="Calibri" w:hAnsi="Calibri"/>
          <w:sz w:val="22"/>
          <w:szCs w:val="22"/>
        </w:rPr>
        <w:t xml:space="preserve">An das Landgericht Hagen</w:t>
      </w:r>
    </w:p>
    <w:p>
      <w:pPr>
        <w:spacing w:after="60"/>
      </w:pPr>
      <w:r>
        <w:rPr>
          <w:rFonts w:ascii="Calibri" w:cs="Calibri" w:eastAsia="Calibri" w:hAnsi="Calibri"/>
          <w:i/>
          <w:iCs/>
          <w:sz w:val="22"/>
          <w:szCs w:val="22"/>
        </w:rPr>
        <w:t xml:space="preserve">— Zivilkammer —</w:t>
      </w:r>
    </w:p>
    <w:p>
      <w:pPr>
        <w:spacing w:after="60"/>
      </w:pPr>
      <w:r>
        <w:rPr>
          <w:rFonts w:ascii="Calibri" w:cs="Calibri" w:eastAsia="Calibri" w:hAnsi="Calibri"/>
          <w:sz w:val="22"/>
          <w:szCs w:val="22"/>
        </w:rPr>
        <w:t xml:space="preserve">Heinitzstraße 42</w:t>
      </w:r>
    </w:p>
    <w:p>
      <w:pPr>
        <w:spacing w:after="400"/>
      </w:pPr>
      <w:r>
        <w:rPr>
          <w:rFonts w:ascii="Calibri" w:cs="Calibri" w:eastAsia="Calibri" w:hAnsi="Calibri"/>
          <w:sz w:val="22"/>
          <w:szCs w:val="22"/>
        </w:rPr>
        <w:t xml:space="preserve">58097 Hagen</w:t>
      </w:r>
    </w:p>
    <w:p>
      <w:pPr>
        <w:spacing w:after="300"/>
        <w:jc w:val="right"/>
      </w:pPr>
      <w:r>
        <w:rPr>
          <w:rFonts w:ascii="Calibri" w:cs="Calibri" w:eastAsia="Calibri" w:hAnsi="Calibri"/>
          <w:sz w:val="22"/>
          <w:szCs w:val="22"/>
        </w:rPr>
        <w:t xml:space="preserve">Lüdenscheid, 15. März 2026</w:t>
      </w:r>
    </w:p>
    <w:p>
      <w:pPr>
        <w:spacing w:after="200" w:before="200"/>
      </w:pPr>
      <w:r>
        <w:rPr>
          <w:rFonts w:ascii="Calibri" w:cs="Calibri" w:eastAsia="Calibri" w:hAnsi="Calibri"/>
          <w:b/>
          <w:bCs/>
          <w:color w:val="1F3864"/>
          <w:sz w:val="28"/>
          <w:szCs w:val="28"/>
          <w:u w:val="single"/>
        </w:rPr>
        <w:t xml:space="preserve">Klageerwiderung — ENTWURF</w:t>
      </w:r>
    </w:p>
    <w:p>
      <w:pPr>
        <w:spacing w:after="120" w:before="100"/>
        <w:jc w:val="both"/>
      </w:pPr>
      <w:r>
        <w:rPr>
          <w:rFonts w:ascii="Calibri" w:cs="Calibri" w:eastAsia="Calibri" w:hAnsi="Calibri"/>
          <w:sz w:val="22"/>
          <w:szCs w:val="22"/>
        </w:rPr>
        <w:t xml:space="preserve">Schmerzensgeldklage Helga Vornberg ./. Holger Tannenbruck u.a. | Für den Beklagten 2: RA Sebastian Hoffmann</w:t>
      </w:r>
    </w:p>
    <w:p>
      <w:pPr>
        <w:spacing w:after="20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Klägerin</w:t>
            </w:r>
          </w:p>
        </w:tc>
        <w:tc>
          <w:tcPr>
            <w:tcMar>
              <w:top w:type="dxa" w:w="60"/>
              <w:left w:type="dxa" w:w="120"/>
              <w:bottom w:type="dxa" w:w="60"/>
              <w:right w:type="dxa" w:w="120"/>
            </w:tcMar>
          </w:tcPr>
          <w:p>
            <w:r>
              <w:rPr>
                <w:rFonts w:ascii="Calibri" w:cs="Calibri" w:eastAsia="Calibri" w:hAnsi="Calibri"/>
                <w:b w:val="false"/>
                <w:bCs w:val="false"/>
                <w:sz w:val="20"/>
                <w:szCs w:val="20"/>
              </w:rPr>
              <w:t xml:space="preserve">Helga Vornberg, geb. 29.05.1951, Brückenstraße 7, 58507 Lüdenscheid</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Beklagte 1</w:t>
            </w:r>
          </w:p>
        </w:tc>
        <w:tc>
          <w:tcPr>
            <w:tcMar>
              <w:top w:type="dxa" w:w="60"/>
              <w:left w:type="dxa" w:w="120"/>
              <w:bottom w:type="dxa" w:w="60"/>
              <w:right w:type="dxa" w:w="120"/>
            </w:tcMar>
          </w:tcPr>
          <w:p>
            <w:r>
              <w:rPr>
                <w:rFonts w:ascii="Calibri" w:cs="Calibri" w:eastAsia="Calibri" w:hAnsi="Calibri"/>
                <w:b w:val="false"/>
                <w:bCs w:val="false"/>
                <w:sz w:val="20"/>
                <w:szCs w:val="20"/>
              </w:rPr>
              <w:t xml:space="preserve">HUK-Coburg Allgemeine Versicherungs-AG, 96444 Coburg</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Beklagter 2</w:t>
            </w:r>
          </w:p>
        </w:tc>
        <w:tc>
          <w:tcPr>
            <w:tcMar>
              <w:top w:type="dxa" w:w="60"/>
              <w:left w:type="dxa" w:w="120"/>
              <w:bottom w:type="dxa" w:w="60"/>
              <w:right w:type="dxa" w:w="120"/>
            </w:tcMar>
          </w:tcPr>
          <w:p>
            <w:r>
              <w:rPr>
                <w:rFonts w:ascii="Calibri" w:cs="Calibri" w:eastAsia="Calibri" w:hAnsi="Calibri"/>
                <w:b w:val="false"/>
                <w:bCs w:val="false"/>
                <w:sz w:val="20"/>
                <w:szCs w:val="20"/>
              </w:rPr>
              <w:t xml:space="preserve">Holger Tannenbruck, Herscheider Str. 44, 58507 Lüdenscheid (vertr. durch RA Hoffmann)</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Verfahren</w:t>
            </w:r>
          </w:p>
        </w:tc>
        <w:tc>
          <w:tcPr>
            <w:tcMar>
              <w:top w:type="dxa" w:w="60"/>
              <w:left w:type="dxa" w:w="120"/>
              <w:bottom w:type="dxa" w:w="60"/>
              <w:right w:type="dxa" w:w="120"/>
            </w:tcMar>
          </w:tcPr>
          <w:p>
            <w:r>
              <w:rPr>
                <w:rFonts w:ascii="Calibri" w:cs="Calibri" w:eastAsia="Calibri" w:hAnsi="Calibri"/>
                <w:b w:val="false"/>
                <w:bCs w:val="false"/>
                <w:sz w:val="20"/>
                <w:szCs w:val="20"/>
              </w:rPr>
              <w:t xml:space="preserve">LG Hagen (erwartet, Az. offen)</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Unfallort/-datum</w:t>
            </w:r>
          </w:p>
        </w:tc>
        <w:tc>
          <w:tcPr>
            <w:tcMar>
              <w:top w:type="dxa" w:w="60"/>
              <w:left w:type="dxa" w:w="120"/>
              <w:bottom w:type="dxa" w:w="60"/>
              <w:right w:type="dxa" w:w="120"/>
            </w:tcMar>
          </w:tcPr>
          <w:p>
            <w:r>
              <w:rPr>
                <w:rFonts w:ascii="Calibri" w:cs="Calibri" w:eastAsia="Calibri" w:hAnsi="Calibri"/>
                <w:b w:val="false"/>
                <w:bCs w:val="false"/>
                <w:sz w:val="20"/>
                <w:szCs w:val="20"/>
              </w:rPr>
              <w:t xml:space="preserve">BAB A45, 12.01.2026, ca. 01:30 Uhr</w:t>
            </w:r>
          </w:p>
        </w:tc>
      </w:tr>
    </w:tbl>
    <w:p>
      <w:pPr>
        <w:pStyle w:val="Heading2"/>
        <w:spacing w:after="150" w:before="300"/>
      </w:pPr>
      <w:r>
        <w:rPr>
          <w:rFonts w:ascii="Calibri" w:cs="Calibri" w:eastAsia="Calibri" w:hAnsi="Calibri"/>
          <w:b/>
          <w:bCs/>
          <w:color w:val="2F5496"/>
          <w:sz w:val="26"/>
          <w:szCs w:val="26"/>
        </w:rPr>
        <w:t xml:space="preserve">I. Sachverhalt</w:t>
      </w:r>
    </w:p>
    <w:p>
      <w:pPr>
        <w:spacing w:after="120" w:before="100"/>
        <w:jc w:val="both"/>
      </w:pPr>
      <w:r>
        <w:rPr>
          <w:rFonts w:ascii="Calibri" w:cs="Calibri" w:eastAsia="Calibri" w:hAnsi="Calibri"/>
          <w:sz w:val="22"/>
          <w:szCs w:val="22"/>
        </w:rPr>
        <w:t xml:space="preserve">Die Klägerin Helga Vornberg, 74 Jahre alt, saß als Beifahrerin im VW Passat Variant des Beklagten 2 (Tannenbruck), als dieser auf der Bundesautobahn A45 bei Ausfahrt Lüdenscheid-Nord auf einen Sattelzug der Spedition Niermann auffuhr. Bei dem Auffahrunfall erlitt die Klägerin schwere Verletzungen.</w:t>
      </w:r>
    </w:p>
    <w:p>
      <w:pPr>
        <w:pStyle w:val="Heading2"/>
        <w:spacing w:after="150" w:before="300"/>
      </w:pPr>
      <w:r>
        <w:rPr>
          <w:rFonts w:ascii="Calibri" w:cs="Calibri" w:eastAsia="Calibri" w:hAnsi="Calibri"/>
          <w:b/>
          <w:bCs/>
          <w:color w:val="2F5496"/>
          <w:sz w:val="26"/>
          <w:szCs w:val="26"/>
        </w:rPr>
        <w:t xml:space="preserve">II. Verletzungen und Behandlung</w:t>
      </w:r>
    </w:p>
    <w:p>
      <w:pPr>
        <w:spacing w:after="120" w:before="100"/>
        <w:jc w:val="both"/>
      </w:pPr>
      <w:r>
        <w:rPr>
          <w:rFonts w:ascii="Calibri" w:cs="Calibri" w:eastAsia="Calibri" w:hAnsi="Calibri"/>
          <w:sz w:val="22"/>
          <w:szCs w:val="22"/>
        </w:rPr>
        <w:t xml:space="preserve">Die Klägerin erlitt durch den Aufprall:</w:t>
      </w:r>
    </w:p>
    <w:p>
      <w:pPr>
        <w:spacing w:after="60" w:before="80"/>
        <w:ind w:left="400"/>
      </w:pPr>
      <w:r>
        <w:rPr>
          <w:rFonts w:ascii="Calibri" w:cs="Calibri" w:eastAsia="Calibri" w:hAnsi="Calibri"/>
          <w:sz w:val="22"/>
          <w:szCs w:val="22"/>
        </w:rPr>
        <w:t xml:space="preserve">• HWS-Distorsion Grad II nach Quebec Task Force — Schmerzen, Bewegungseinschränkung, Schwindel, Kopfschmerzen</w:t>
      </w:r>
    </w:p>
    <w:p>
      <w:pPr>
        <w:spacing w:after="60" w:before="60"/>
        <w:ind w:left="400"/>
      </w:pPr>
      <w:r>
        <w:rPr>
          <w:rFonts w:ascii="Calibri" w:cs="Calibri" w:eastAsia="Calibri" w:hAnsi="Calibri"/>
          <w:sz w:val="22"/>
          <w:szCs w:val="22"/>
        </w:rPr>
        <w:t xml:space="preserve">• Querfortsatzfraktur des 3. Lendenwirbelkörpers (LWK 3) — konservative Behandlung mit orthopädischem Mieder und Physiotherapie, 6 Wochen Bettruhe</w:t>
      </w:r>
    </w:p>
    <w:p>
      <w:pPr>
        <w:spacing w:after="60" w:before="60"/>
        <w:ind w:left="400"/>
      </w:pPr>
      <w:r>
        <w:rPr>
          <w:rFonts w:ascii="Calibri" w:cs="Calibri" w:eastAsia="Calibri" w:hAnsi="Calibri"/>
          <w:sz w:val="22"/>
          <w:szCs w:val="22"/>
        </w:rPr>
        <w:t xml:space="preserve">• Stationäre Behandlung Marienkrankenhaus Lüdenscheid: 12.01.2026 bis 26.01.2026 (15 Tage)</w:t>
      </w:r>
    </w:p>
    <w:p>
      <w:pPr>
        <w:spacing w:after="200" w:before="60"/>
        <w:ind w:left="400"/>
      </w:pPr>
      <w:r>
        <w:rPr>
          <w:rFonts w:ascii="Calibri" w:cs="Calibri" w:eastAsia="Calibri" w:hAnsi="Calibri"/>
          <w:sz w:val="22"/>
          <w:szCs w:val="22"/>
        </w:rPr>
        <w:t xml:space="preserve">• Anschlussheilbehandlung: Klinik Rosenberg Bad Neuenahr, 27.01. bis 24.02.2026 (28 Tage)</w:t>
      </w:r>
    </w:p>
    <w:p>
      <w:pPr>
        <w:pStyle w:val="Heading2"/>
        <w:spacing w:after="150" w:before="300"/>
      </w:pPr>
      <w:r>
        <w:rPr>
          <w:rFonts w:ascii="Calibri" w:cs="Calibri" w:eastAsia="Calibri" w:hAnsi="Calibri"/>
          <w:b/>
          <w:bCs/>
          <w:color w:val="2F5496"/>
          <w:sz w:val="26"/>
          <w:szCs w:val="26"/>
        </w:rPr>
        <w:t xml:space="preserve">III. Schmerzensgeld-Beurteilung</w:t>
      </w:r>
    </w:p>
    <w:p>
      <w:pPr>
        <w:spacing w:after="120" w:before="100"/>
        <w:jc w:val="both"/>
      </w:pPr>
      <w:r>
        <w:rPr>
          <w:rFonts w:ascii="Calibri" w:cs="Calibri" w:eastAsia="Calibri" w:hAnsi="Calibri"/>
          <w:sz w:val="22"/>
          <w:szCs w:val="22"/>
        </w:rPr>
        <w:t xml:space="preserve">Nach der Rechtsprechung des OLG Hamm (Urt. v. 10.12.2018, 6 U 48/18) und des LG Hagen (Urt. v. 23.04.2015, 4 O 187/14) ist bei vergleichbaren Verletzungen ein Schmerzensgeld von 12.000–15.000 EUR angemessen. Der klägerische Ansatz von 18.000 EUR liegt am oberen Rand des vertretbaren Rahmens.</w:t>
      </w:r>
    </w:p>
    <w:p>
      <w:pPr>
        <w:spacing w:after="120" w:before="100"/>
        <w:jc w:val="both"/>
      </w:pPr>
      <w:r>
        <w:rPr>
          <w:rFonts w:ascii="Calibri" w:cs="Calibri" w:eastAsia="Calibri" w:hAnsi="Calibri"/>
          <w:sz w:val="22"/>
          <w:szCs w:val="22"/>
        </w:rPr>
        <w:t xml:space="preserve">Wir verweisen auf folgende strafmildernde Aspekte bei der Schmerzensgeldabwägung: Der Täter-Opfer-Ausgleich vom 02.04.2026 ist vollständig durchgeführt worden. Zwischen Klägerin und Beklagtem 2 wurde eine Versöhnung erzielt. Tannenbruck hat sich persönlich entschuldigt und alle Eigenanteile der Klägerin an den Heilbehandlungskosten übernommen.</w:t>
      </w:r>
    </w:p>
    <w:p>
      <w:pPr>
        <w:pStyle w:val="Heading2"/>
        <w:spacing w:after="150" w:before="300"/>
      </w:pPr>
      <w:r>
        <w:rPr>
          <w:rFonts w:ascii="Calibri" w:cs="Calibri" w:eastAsia="Calibri" w:hAnsi="Calibri"/>
          <w:b/>
          <w:bCs/>
          <w:color w:val="2F5496"/>
          <w:sz w:val="26"/>
          <w:szCs w:val="26"/>
        </w:rPr>
        <w:t xml:space="preserve">IV. Schadensaufstellung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Position</w:t>
            </w:r>
          </w:p>
        </w:tc>
        <w:tc>
          <w:tcPr>
            <w:tcMar>
              <w:top w:type="dxa" w:w="60"/>
              <w:left w:type="dxa" w:w="120"/>
              <w:bottom w:type="dxa" w:w="60"/>
              <w:right w:type="dxa" w:w="120"/>
            </w:tcMar>
          </w:tcPr>
          <w:p>
            <w:r>
              <w:rPr>
                <w:rFonts w:ascii="Calibri" w:cs="Calibri" w:eastAsia="Calibri" w:hAnsi="Calibri"/>
                <w:b w:val="false"/>
                <w:bCs w:val="false"/>
                <w:sz w:val="20"/>
                <w:szCs w:val="20"/>
              </w:rPr>
              <w:t xml:space="preserve">Betrag</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Stationäre Behandlung (Eigenanteil)</w:t>
            </w:r>
          </w:p>
        </w:tc>
        <w:tc>
          <w:tcPr>
            <w:tcMar>
              <w:top w:type="dxa" w:w="60"/>
              <w:left w:type="dxa" w:w="120"/>
              <w:bottom w:type="dxa" w:w="60"/>
              <w:right w:type="dxa" w:w="120"/>
            </w:tcMar>
          </w:tcPr>
          <w:p>
            <w:r>
              <w:rPr>
                <w:rFonts w:ascii="Calibri" w:cs="Calibri" w:eastAsia="Calibri" w:hAnsi="Calibri"/>
                <w:b w:val="false"/>
                <w:bCs w:val="false"/>
                <w:sz w:val="20"/>
                <w:szCs w:val="20"/>
              </w:rPr>
              <w:t xml:space="preserve">150,00 EUR</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Reha Rosenberg (Zuzahlung)</w:t>
            </w:r>
          </w:p>
        </w:tc>
        <w:tc>
          <w:tcPr>
            <w:tcMar>
              <w:top w:type="dxa" w:w="60"/>
              <w:left w:type="dxa" w:w="120"/>
              <w:bottom w:type="dxa" w:w="60"/>
              <w:right w:type="dxa" w:w="120"/>
            </w:tcMar>
          </w:tcPr>
          <w:p>
            <w:r>
              <w:rPr>
                <w:rFonts w:ascii="Calibri" w:cs="Calibri" w:eastAsia="Calibri" w:hAnsi="Calibri"/>
                <w:b w:val="false"/>
                <w:bCs w:val="false"/>
                <w:sz w:val="20"/>
                <w:szCs w:val="20"/>
              </w:rPr>
              <w:t xml:space="preserve">280,00 EUR</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Fahrtkosten Physiotherapie</w:t>
            </w:r>
          </w:p>
        </w:tc>
        <w:tc>
          <w:tcPr>
            <w:tcMar>
              <w:top w:type="dxa" w:w="60"/>
              <w:left w:type="dxa" w:w="120"/>
              <w:bottom w:type="dxa" w:w="60"/>
              <w:right w:type="dxa" w:w="120"/>
            </w:tcMar>
          </w:tcPr>
          <w:p>
            <w:r>
              <w:rPr>
                <w:rFonts w:ascii="Calibri" w:cs="Calibri" w:eastAsia="Calibri" w:hAnsi="Calibri"/>
                <w:b w:val="false"/>
                <w:bCs w:val="false"/>
                <w:sz w:val="20"/>
                <w:szCs w:val="20"/>
              </w:rPr>
              <w:t xml:space="preserve">151,20 EUR</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Hilfsmittel (Halsband, Lendenstütze)</w:t>
            </w:r>
          </w:p>
        </w:tc>
        <w:tc>
          <w:tcPr>
            <w:tcMar>
              <w:top w:type="dxa" w:w="60"/>
              <w:left w:type="dxa" w:w="120"/>
              <w:bottom w:type="dxa" w:w="60"/>
              <w:right w:type="dxa" w:w="120"/>
            </w:tcMar>
          </w:tcPr>
          <w:p>
            <w:r>
              <w:rPr>
                <w:rFonts w:ascii="Calibri" w:cs="Calibri" w:eastAsia="Calibri" w:hAnsi="Calibri"/>
                <w:b w:val="false"/>
                <w:bCs w:val="false"/>
                <w:sz w:val="20"/>
                <w:szCs w:val="20"/>
              </w:rPr>
              <w:t xml:space="preserve">185,00 EUR</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Haushaltsführungsschaden (6 Wochen)</w:t>
            </w:r>
          </w:p>
        </w:tc>
        <w:tc>
          <w:tcPr>
            <w:tcMar>
              <w:top w:type="dxa" w:w="60"/>
              <w:left w:type="dxa" w:w="120"/>
              <w:bottom w:type="dxa" w:w="60"/>
              <w:right w:type="dxa" w:w="120"/>
            </w:tcMar>
          </w:tcPr>
          <w:p>
            <w:r>
              <w:rPr>
                <w:rFonts w:ascii="Calibri" w:cs="Calibri" w:eastAsia="Calibri" w:hAnsi="Calibri"/>
                <w:b w:val="false"/>
                <w:bCs w:val="false"/>
                <w:sz w:val="20"/>
                <w:szCs w:val="20"/>
              </w:rPr>
              <w:t xml:space="preserve">1.512,00 EUR</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Schmerzensgeld (klägerisch)</w:t>
            </w:r>
          </w:p>
        </w:tc>
        <w:tc>
          <w:tcPr>
            <w:tcMar>
              <w:top w:type="dxa" w:w="60"/>
              <w:left w:type="dxa" w:w="120"/>
              <w:bottom w:type="dxa" w:w="60"/>
              <w:right w:type="dxa" w:w="120"/>
            </w:tcMar>
          </w:tcPr>
          <w:p>
            <w:r>
              <w:rPr>
                <w:rFonts w:ascii="Calibri" w:cs="Calibri" w:eastAsia="Calibri" w:hAnsi="Calibri"/>
                <w:b w:val="false"/>
                <w:bCs w:val="false"/>
                <w:sz w:val="20"/>
                <w:szCs w:val="20"/>
              </w:rPr>
              <w:t xml:space="preserve">18.000,00 EUR</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GESAMT (klägerisch)</w:t>
            </w:r>
          </w:p>
        </w:tc>
        <w:tc>
          <w:tcPr>
            <w:tcMar>
              <w:top w:type="dxa" w:w="60"/>
              <w:left w:type="dxa" w:w="120"/>
              <w:bottom w:type="dxa" w:w="60"/>
              <w:right w:type="dxa" w:w="120"/>
            </w:tcMar>
          </w:tcPr>
          <w:p>
            <w:r>
              <w:rPr>
                <w:rFonts w:ascii="Calibri" w:cs="Calibri" w:eastAsia="Calibri" w:hAnsi="Calibri"/>
                <w:b w:val="false"/>
                <w:bCs w:val="false"/>
                <w:sz w:val="20"/>
                <w:szCs w:val="20"/>
              </w:rPr>
              <w:t xml:space="preserve">20.278,20 EUR</w:t>
            </w:r>
          </w:p>
        </w:tc>
      </w:tr>
      <w:tr>
        <w:tc>
          <w:tcPr>
            <w:shd w:fill="E8F0FE" w:color="auto" w:val="clear"/>
            <w:tcMar>
              <w:top w:type="dxa" w:w="60"/>
              <w:left w:type="dxa" w:w="120"/>
              <w:bottom w:type="dxa" w:w="60"/>
              <w:right w:type="dxa" w:w="120"/>
            </w:tcMar>
          </w:tcPr>
          <w:p>
            <w:r>
              <w:rPr>
                <w:rFonts w:ascii="Calibri" w:cs="Calibri" w:eastAsia="Calibri" w:hAnsi="Calibri"/>
                <w:b/>
                <w:bCs/>
                <w:sz w:val="20"/>
                <w:szCs w:val="20"/>
              </w:rPr>
              <w:t xml:space="preserve">Unsere Gegenforderung (12.000 EUR SG)</w:t>
            </w:r>
          </w:p>
        </w:tc>
        <w:tc>
          <w:tcPr>
            <w:tcMar>
              <w:top w:type="dxa" w:w="60"/>
              <w:left w:type="dxa" w:w="120"/>
              <w:bottom w:type="dxa" w:w="60"/>
              <w:right w:type="dxa" w:w="120"/>
            </w:tcMar>
          </w:tcPr>
          <w:p>
            <w:r>
              <w:rPr>
                <w:rFonts w:ascii="Calibri" w:cs="Calibri" w:eastAsia="Calibri" w:hAnsi="Calibri"/>
                <w:b w:val="false"/>
                <w:bCs w:val="false"/>
                <w:sz w:val="20"/>
                <w:szCs w:val="20"/>
              </w:rPr>
              <w:t xml:space="preserve">14.278,20 EUR</w:t>
            </w:r>
          </w:p>
        </w:tc>
      </w:tr>
    </w:tbl>
    <w:p>
      <w:pPr>
        <w:pStyle w:val="Heading2"/>
        <w:spacing w:after="150" w:before="300"/>
      </w:pPr>
      <w:r>
        <w:rPr>
          <w:rFonts w:ascii="Calibri" w:cs="Calibri" w:eastAsia="Calibri" w:hAnsi="Calibri"/>
          <w:b/>
          <w:bCs/>
          <w:color w:val="2F5496"/>
          <w:sz w:val="26"/>
          <w:szCs w:val="26"/>
        </w:rPr>
        <w:t xml:space="preserve">V. Klageabweisungsantrag</w:t>
      </w:r>
    </w:p>
    <w:p>
      <w:pPr>
        <w:spacing w:after="120" w:before="100"/>
        <w:jc w:val="both"/>
      </w:pPr>
      <w:r>
        <w:rPr>
          <w:rFonts w:ascii="Calibri" w:cs="Calibri" w:eastAsia="Calibri" w:hAnsi="Calibri"/>
          <w:sz w:val="22"/>
          <w:szCs w:val="22"/>
        </w:rPr>
        <w:t xml:space="preserve">In Höhe des die Schmerzensgeld-Summe von 12.000,00 EUR übersteigenden Betrages sowie hinsichtlich des Feststellungsantrages zur künftigen Schadenshaftung beantragen wir Klageabweisung. Eine schlechte Heilungsprognose, die einen Feststellungsantrag rechtfertigen würde, liegt nach den ärztlichen Berichten nicht vor.</w:t>
      </w:r>
    </w:p>
    <w:p>
      <w:pPr>
        <w:spacing w:after="120" w:before="100"/>
        <w:jc w:val="both"/>
      </w:pPr>
      <w:r>
        <w:rPr>
          <w:rFonts w:ascii="Calibri" w:cs="Calibri" w:eastAsia="Calibri" w:hAnsi="Calibri"/>
          <w:sz w:val="22"/>
          <w:szCs w:val="22"/>
        </w:rPr>
        <w:t xml:space="preserve">Im Übrigen wird darauf hingewiesen, dass die Beklagte 1 (HUK-Coburg) primärer Anspruchsgegner nach § 115 VVG ist. Eine persönliche Inanspruchnahme des Beklagten 2 kommt erst in Betracht, wenn die HUK-Coburg leistungsunfähig oder leistungsverweigend ist.</w:t>
      </w:r>
    </w:p>
    <w:p>
      <w:pPr>
        <w:spacing w:after="300"/>
      </w:pPr>
    </w:p>
    <w:p>
      <w:pPr>
        <w:spacing w:after="120" w:before="100"/>
        <w:jc w:val="both"/>
      </w:pPr>
      <w:r>
        <w:rPr>
          <w:rFonts w:ascii="Calibri" w:cs="Calibri" w:eastAsia="Calibri" w:hAnsi="Calibri"/>
          <w:sz w:val="22"/>
          <w:szCs w:val="22"/>
        </w:rPr>
        <w:t xml:space="preserve">Mit freundlichen Grüßen</w:t>
      </w:r>
    </w:p>
    <w:p>
      <w:pPr>
        <w:spacing w:after="800"/>
      </w:pPr>
    </w:p>
    <w:p>
      <w:pPr>
        <w:spacing w:after="80"/>
      </w:pPr>
      <w:r>
        <w:rPr>
          <w:rFonts w:ascii="Calibri" w:cs="Calibri" w:eastAsia="Calibri" w:hAnsi="Calibri"/>
          <w:b/>
          <w:bCs/>
          <w:sz w:val="22"/>
          <w:szCs w:val="22"/>
        </w:rPr>
        <w:t xml:space="preserve">Sebastian Hoffmann</w:t>
      </w:r>
    </w:p>
    <w:p>
      <w:pPr>
        <w:spacing w:after="60"/>
      </w:pPr>
      <w:r>
        <w:rPr>
          <w:rFonts w:ascii="Calibri" w:cs="Calibri" w:eastAsia="Calibri" w:hAnsi="Calibri"/>
          <w:sz w:val="22"/>
          <w:szCs w:val="22"/>
        </w:rPr>
        <w:t xml:space="preserve">Rechtsanwalt, Fachanwalt für Verkehrsrecht</w:t>
      </w:r>
    </w:p>
    <w:p>
      <w:pPr>
        <w:pBdr>
          <w:bottom w:val="single" w:color="444444" w:sz="6"/>
        </w:pBdr>
        <w:spacing w:after="200"/>
      </w:pPr>
    </w:p>
    <w:p>
      <w:pPr>
        <w:jc w:val="center"/>
      </w:pPr>
      <w:r>
        <w:rPr>
          <w:rFonts w:ascii="Calibri" w:cs="Calibri" w:eastAsia="Calibri" w:hAnsi="Calibri"/>
          <w:i/>
          <w:iCs/>
          <w:color w:val="888888"/>
          <w:sz w:val="18"/>
          <w:szCs w:val="18"/>
        </w:rPr>
        <w:t xml:space="preserve">ENTWURF — Stand 15.03.2026 — nicht eingereicht</w:t>
      </w:r>
    </w:p>
    <w:sectPr>
      <w:headerReference w:type="default" r:id="rId7"/>
      <w:footerReference w:type="default" r:id="rId8"/>
      <w:pgSz w:w="11906" w:h="16838" w:orient="portrait"/>
      <w:pgMar w:top="1440" w:right="108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8"/>
        <w:szCs w:val="18"/>
      </w:rPr>
      <w:t xml:space="preserve">Seite </w:t>
    </w:r>
    <w:r>
      <w:rPr>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888888"/>
        <w:sz w:val="18"/>
        <w:szCs w:val="18"/>
      </w:rPr>
      <w:t xml:space="preserve">Kanzlei Hoffmann Verkehrsrecht — ENTWURF Klageschrift Schmerzensgeld Vornberg — LG Hagen 4 O 211/26 (neu)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2026-05-30T15:17:13.107Z</dcterms:created>
  <dcterms:modified xsi:type="dcterms:W3CDTF">2026-05-30T15:17:13.107Z</dcterms:modified>
</cp:coreProperties>
</file>

<file path=docProps/custom.xml><?xml version="1.0" encoding="utf-8"?>
<Properties xmlns="http://schemas.openxmlformats.org/officeDocument/2006/custom-properties" xmlns:vt="http://schemas.openxmlformats.org/officeDocument/2006/docPropsVTypes"/>
</file>