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left"/>
      </w:pPr>
      <w:r>
        <w:rPr>
          <w:rFonts w:ascii="Calibri" w:hAnsi="Calibri"/>
          <w:b/>
          <w:i w:val="0"/>
          <w:color w:val="1B474D"/>
          <w:sz w:val="28"/>
        </w:rPr>
        <w:t>AN DAS LANDGERICHT TRAUNSTEIN</w:t>
      </w: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— Zivilkammer —</w:t>
      </w: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Münchener Straße 22</w:t>
      </w: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83278 Traunstein</w:t>
      </w:r>
    </w:p>
    <w:p>
      <w:pPr>
        <w:spacing w:after="80"/>
      </w:pP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Antragstellerin: Saalbau Wendelstein gGmbH, Wittelsbacherstrase 102, 83022 Rosenheim</w:t>
      </w: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Antragsgegner: Bauer-Hoch GmbH &amp; Co. KG, Traunsteiner Straße 88, 83278 Traunstein</w:t>
      </w: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Aktenzeichen: 2 OH 7/26 (LG Traunstein)</w:t>
      </w:r>
    </w:p>
    <w:p>
      <w:pPr>
        <w:spacing w:after="80"/>
      </w:pPr>
    </w:p>
    <w:p>
      <w:pPr>
        <w:spacing w:after="80"/>
      </w:pPr>
    </w:p>
    <w:p>
      <w:pPr>
        <w:jc w:val="center"/>
      </w:pPr>
      <w:r>
        <w:rPr>
          <w:rFonts w:ascii="Calibri" w:hAnsi="Calibri"/>
          <w:b/>
          <w:i w:val="0"/>
          <w:sz w:val="30"/>
        </w:rPr>
        <w:t>ANTRAG AUF DURCHFÜHRUNG EINES SELBSTÄNDIGEN BEWEISVERFAHRENS</w:t>
      </w:r>
    </w:p>
    <w:p>
      <w:pPr>
        <w:jc w:val="center"/>
      </w:pPr>
      <w:r>
        <w:rPr>
          <w:rFonts w:ascii="Calibri" w:hAnsi="Calibri"/>
          <w:b w:val="0"/>
          <w:i/>
          <w:sz w:val="24"/>
        </w:rPr>
        <w:t>gemäß §§ 485 ff. ZPO</w:t>
      </w:r>
    </w:p>
    <w:p>
      <w:pPr>
        <w:spacing w:after="80"/>
      </w:pPr>
    </w:p>
    <w:p>
      <w:pPr>
        <w:spacing w:before="280" w:after="120"/>
      </w:pPr>
      <w:r>
        <w:rPr>
          <w:rFonts w:ascii="Calibri" w:hAnsi="Calibri"/>
          <w:b/>
          <w:i w:val="0"/>
          <w:color w:val="1B474D"/>
          <w:sz w:val="24"/>
        </w:rPr>
        <w:t>I. Antrag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Die Antragstellerin beantragt: Das Gericht möge ein selbständiges Beweisverfahren anordnen und (1) einen Sachverständigen für Schäden an Gebäuden, insbesondere Stahlbetonkonstruktionen, Bodenplatten und Heiztechnik, bestellen, der die Beweisfragen 1–5 beantwortet; sowie (2) einen Sachverständigen für Bodenkontamination und Altlasten bestellen, der Beweisfrage 6 beantwortet. Der Antragsgegner ist zu verpflichten, die Begehung des Bauvorhabens zu ermöglichen und sämtliche baubegleitenden Unterlagen zur Verfügung zu stellen.</w:t>
      </w:r>
    </w:p>
    <w:p>
      <w:pPr>
        <w:spacing w:before="280" w:after="120"/>
      </w:pPr>
      <w:r>
        <w:rPr>
          <w:rFonts w:ascii="Calibri" w:hAnsi="Calibri"/>
          <w:b/>
          <w:i w:val="0"/>
          <w:color w:val="1B474D"/>
          <w:sz w:val="24"/>
        </w:rPr>
        <w:t>II. Beweisfragen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Beweisfrage 1: Welche Schäden weist die Bodenplatte des Werkstattgebäudes (Baukörper 2) auf? Insbesondere: Welche Risse existieren, in welcher Breite, Tiefe und räumlichen Verteilung?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Beweisfrage 2: Beruhen die Risse auf mangelhafter Verdichtung des Schotterbetts und/oder fehlender Randstabbewehrung im Schachtbereich? Welchen Verdichtungsgrad (D nach DIN 1054) weist das Schotterbett auf? Entspricht die Bewehrung dem Bewehrungsplan Pos. 3.1?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Beweisfrage 3: Ist die Fußbodenheizung des Werkstattgebäudes funktionstüchtig? In welchen Heizkreisen liegen Defekte vor? Welche Ursachen haben diese?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Beweisfrage 4: Entsprechen die Schachtabdichtungen S3 und S7 den Anforderungen nach DIN 18533 und dem Leistungsverzeichnis?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Beweisfrage 5: Entsprechen Brandschutzabdichtung KD-03, Erdung der Bühnenstromschienen und Notbeleuchtung NK-4/NK-7 den maßgeblichen Normen und dem Leistungsverzeichnis?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Beweisfrage 6: Welche Schadstoffe (Cyanide, Schwermetalle Cu/Ni/Zn, PAK, MKW) sind im Bereich des Baukörpers 3 (Lagerhalle) in welchen Tiefen und Mengen vorhanden? Wie weit erstreckt sich die Kontamination? Welches Sanierungskonzept ist nach BBodSchG erforderlich und welche Kosten entstehen voraussichtlich?</w:t>
      </w:r>
    </w:p>
    <w:p>
      <w:pPr>
        <w:spacing w:before="280" w:after="120"/>
      </w:pPr>
      <w:r>
        <w:rPr>
          <w:rFonts w:ascii="Calibri" w:hAnsi="Calibri"/>
          <w:b/>
          <w:i w:val="0"/>
          <w:color w:val="1B474D"/>
          <w:sz w:val="24"/>
        </w:rPr>
        <w:t>III. Begründung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Das selbständige Beweisverfahren nach § 485 ZPO ist zulässig. Gemäß § 485 Abs. 2 ZPO kann eine Partei die Einholung eines Sachverständigengutachtens über den Zustand einer Sache beantragen, wenn ein rechtliches Interesse an der Feststellung besteht. Ein solches besteht hier in doppelter Hinsicht: Erstens zeigt die Bodenplatte fortschreitende Feuchtigkeitsschäden, so dass Beweismittelverlust droht. Zweitens kann eine gerichtliche Feststellung zur Vermeidung des Hauptsacheverfahrens beitragen.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Die Dringlichkeit ist gegeben: Die Rissbildung entwickelt sich weiter; bei fortschreitendem Feuchtigkeitseintrag droht Korrosion der Bewehrung. Jede Mängelbeseitigungsmaßnahme würde die Beweise überlagern. Für Beweisfrage 6 (Bodenkontamination): Die Sanierungsanordnung LRA Rosenheim (Az. 33-Bo-2026-117) verpflichtet zur Detailuntersuchung; eine gerichtliche Beweissicherung sichert den Zustand vor Sanierungseinleitung ab.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Die Schiedsklausel im GU-Vertrag (§ 17.1) steht dem selbständigen Beweisverfahren nicht entgegen. Schiedsklauseln können das gerichtliche Beweissicherungsverfahren grundsätzlich nicht ausschließen (BGH, Urt. v. 14.01.2016 – VII ZB 39/15, NZBau 2016, 350).</w:t>
      </w:r>
    </w:p>
    <w:p>
      <w:pPr>
        <w:spacing w:before="280" w:after="120"/>
      </w:pPr>
      <w:r>
        <w:rPr>
          <w:rFonts w:ascii="Calibri" w:hAnsi="Calibri"/>
          <w:b/>
          <w:i w:val="0"/>
          <w:color w:val="1B474D"/>
          <w:sz w:val="24"/>
        </w:rPr>
        <w:t>IV. Sachverständigenvorschiäge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Für Beweisfragen 1–5: Prof. Dr.-Ing. Manfred Seibold, TU München, Lehrstuhl Baukonstruktion; alternativ Dipl.-Ing. Andreas Pfeiffer, München, öffentlich bestellter Sachverständiger für Schäden an Gebäuden und Ingenieurkonstruktionen.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Für Beweisfrage 6: Dr.-Ing. Dieter Schreiber, Gutachterbüro Schreiber &amp; Partner, Augsburg; alternativ ein vom Gericht ausgewählter Sachverständiger für Bodenkontamination und Altlasten.</w:t>
      </w:r>
    </w:p>
    <w:p>
      <w:pPr>
        <w:spacing w:before="280" w:after="120"/>
      </w:pPr>
      <w:r>
        <w:rPr>
          <w:rFonts w:ascii="Calibri" w:hAnsi="Calibri"/>
          <w:b/>
          <w:i w:val="0"/>
          <w:color w:val="1B474D"/>
          <w:sz w:val="24"/>
        </w:rPr>
        <w:t>V. Vorschuss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2"/>
        </w:rPr>
        <w:t>Die Antragstellerin erklärt sich bereit, den gerichtlich festgesetzten Kostenvorschuss innerhalb von 14 Tagen nach Aufforderung zu zahlen.</w:t>
      </w:r>
    </w:p>
    <w:p>
      <w:pPr>
        <w:spacing w:after="80"/>
      </w:pP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Rosenheim, 28. April 2026</w:t>
      </w:r>
    </w:p>
    <w:p>
      <w:pPr>
        <w:spacing w:after="80"/>
      </w:pPr>
    </w:p>
    <w:p>
      <w:pPr>
        <w:spacing w:after="80"/>
      </w:pPr>
    </w:p>
    <w:p>
      <w:pPr>
        <w:spacing w:after="120"/>
        <w:jc w:val="left"/>
      </w:pPr>
      <w:r>
        <w:rPr>
          <w:rFonts w:ascii="Calibri" w:hAnsi="Calibri"/>
          <w:b/>
          <w:i w:val="0"/>
          <w:sz w:val="22"/>
        </w:rPr>
        <w:t>Dr. Henriette Niedermair</w:t>
      </w: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22"/>
        </w:rPr>
        <w:t>Rechtsanwältin · Fachanwältin für Bau- und Architektenrecht</w:t>
      </w:r>
    </w:p>
    <w:p>
      <w:pPr>
        <w:spacing w:after="80"/>
      </w:pPr>
    </w:p>
    <w:p>
      <w:pPr>
        <w:spacing w:after="120"/>
        <w:jc w:val="left"/>
      </w:pPr>
      <w:r>
        <w:rPr>
          <w:rFonts w:ascii="Calibri" w:hAnsi="Calibri"/>
          <w:b w:val="0"/>
          <w:i w:val="0"/>
          <w:sz w:val="18"/>
        </w:rPr>
        <w:t>Anlagen: A1: Gutachten Riedhof 02.04.2026 · A2: Mängelliste 14.04.2026 · A3: Elektroprüfprotokoll 12.03.2026 · A4: Laboranalyse BayBoden 04.02.2026 · A5: Sanierungsanordnung LRA 12.02.2026 · A6: GU-Vertrag 12.07.2023 · A7: Vollmacht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