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120"/>
        <w:jc w:val="left"/>
      </w:pPr>
      <w:r>
        <w:rPr>
          <w:rFonts w:ascii="Calibri" w:hAnsi="Calibri"/>
          <w:b/>
          <w:i w:val="0"/>
          <w:color w:val="1B474D"/>
          <w:sz w:val="28"/>
        </w:rPr>
        <w:t>AN DAS LANDGERICHT TRAUNSTEIN</w:t>
      </w:r>
    </w:p>
    <w:p>
      <w:pPr>
        <w:spacing w:after="120"/>
        <w:jc w:val="left"/>
      </w:pPr>
      <w:r>
        <w:rPr>
          <w:rFonts w:ascii="Calibri" w:hAnsi="Calibri"/>
          <w:b w:val="0"/>
          <w:i w:val="0"/>
          <w:sz w:val="22"/>
        </w:rPr>
        <w:t>— Zivilkammer —</w:t>
      </w:r>
    </w:p>
    <w:p>
      <w:pPr>
        <w:spacing w:after="120"/>
        <w:jc w:val="left"/>
      </w:pPr>
      <w:r>
        <w:rPr>
          <w:rFonts w:ascii="Calibri" w:hAnsi="Calibri"/>
          <w:b w:val="0"/>
          <w:i w:val="0"/>
          <w:sz w:val="22"/>
        </w:rPr>
        <w:t>Münchener Straße 22</w:t>
      </w:r>
    </w:p>
    <w:p>
      <w:pPr>
        <w:spacing w:after="120"/>
        <w:jc w:val="left"/>
      </w:pPr>
      <w:r>
        <w:rPr>
          <w:rFonts w:ascii="Calibri" w:hAnsi="Calibri"/>
          <w:b w:val="0"/>
          <w:i w:val="0"/>
          <w:sz w:val="22"/>
        </w:rPr>
        <w:t>83278 Traunstein</w:t>
      </w:r>
    </w:p>
    <w:p>
      <w:pPr>
        <w:spacing w:after="80"/>
      </w:pPr>
    </w:p>
    <w:p>
      <w:pPr>
        <w:spacing w:after="120"/>
        <w:jc w:val="left"/>
      </w:pPr>
      <w:r>
        <w:rPr>
          <w:rFonts w:ascii="Calibri" w:hAnsi="Calibri"/>
          <w:b w:val="0"/>
          <w:i w:val="0"/>
          <w:sz w:val="20"/>
        </w:rPr>
        <w:t>Eingereicht durch: RAin Dr. Henriette Niedermair, Kanzlei Niedermair Baurecht, Rosenheim</w:t>
      </w:r>
    </w:p>
    <w:p>
      <w:pPr>
        <w:spacing w:after="80"/>
      </w:pPr>
    </w:p>
    <w:p>
      <w:pPr>
        <w:spacing w:after="120"/>
        <w:jc w:val="left"/>
      </w:pPr>
      <w:r>
        <w:rPr>
          <w:rFonts w:ascii="Calibri" w:hAnsi="Calibri"/>
          <w:b w:val="0"/>
          <w:i w:val="0"/>
          <w:sz w:val="22"/>
        </w:rPr>
        <w:t>Klägerin: Saalbau Wendelstein gGmbH, Wittelsbacherstrase 102, 83022 Rosenheim</w:t>
      </w:r>
    </w:p>
    <w:p>
      <w:pPr>
        <w:spacing w:after="120"/>
        <w:jc w:val="left"/>
      </w:pPr>
      <w:r>
        <w:rPr>
          <w:rFonts w:ascii="Calibri" w:hAnsi="Calibri"/>
          <w:b w:val="0"/>
          <w:i w:val="0"/>
          <w:sz w:val="22"/>
        </w:rPr>
        <w:t>Beklagte: Bauer-Hoch GmbH &amp; Co. KG, Traunsteiner Straße 88, 83278 Traunstein</w:t>
      </w:r>
    </w:p>
    <w:p>
      <w:pPr>
        <w:spacing w:after="120"/>
        <w:jc w:val="left"/>
      </w:pPr>
      <w:r>
        <w:rPr>
          <w:rFonts w:ascii="Calibri" w:hAnsi="Calibri"/>
          <w:b w:val="0"/>
          <w:i w:val="0"/>
          <w:sz w:val="22"/>
        </w:rPr>
        <w:t>Aktenzeichen: 2 O 318/26 (LG Traunstein)</w:t>
      </w:r>
    </w:p>
    <w:p>
      <w:pPr>
        <w:spacing w:after="120"/>
        <w:jc w:val="left"/>
      </w:pPr>
      <w:r>
        <w:rPr>
          <w:rFonts w:ascii="Calibri" w:hAnsi="Calibri"/>
          <w:b/>
          <w:i w:val="0"/>
          <w:sz w:val="22"/>
        </w:rPr>
        <w:t>Vorläufiger Streitwert: 480.000 EUR</w:t>
      </w:r>
    </w:p>
    <w:p>
      <w:pPr>
        <w:spacing w:after="80"/>
      </w:pPr>
    </w:p>
    <w:p>
      <w:pPr>
        <w:spacing w:after="80"/>
      </w:pPr>
    </w:p>
    <w:p>
      <w:pPr>
        <w:jc w:val="center"/>
      </w:pPr>
      <w:r>
        <w:rPr>
          <w:rFonts w:ascii="Calibri" w:hAnsi="Calibri"/>
          <w:b/>
          <w:i w:val="0"/>
          <w:sz w:val="36"/>
        </w:rPr>
        <w:t>KLAGESCHRIFT</w:t>
      </w:r>
    </w:p>
    <w:p>
      <w:pPr>
        <w:spacing w:after="80"/>
      </w:pPr>
    </w:p>
    <w:p>
      <w:pPr>
        <w:spacing w:before="280" w:after="120"/>
      </w:pPr>
      <w:r>
        <w:rPr>
          <w:rFonts w:ascii="Calibri" w:hAnsi="Calibri"/>
          <w:b/>
          <w:i w:val="0"/>
          <w:color w:val="1B474D"/>
          <w:sz w:val="24"/>
        </w:rPr>
        <w:t>Klageantrag</w:t>
      </w:r>
    </w:p>
    <w:p>
      <w:pPr>
        <w:spacing w:after="120"/>
        <w:jc w:val="both"/>
      </w:pPr>
      <w:r>
        <w:rPr>
          <w:rFonts w:ascii="Calibri" w:hAnsi="Calibri"/>
          <w:b w:val="0"/>
          <w:i w:val="0"/>
          <w:sz w:val="22"/>
        </w:rPr>
        <w:t>Die Beklagte wird verurteilt:</w:t>
      </w:r>
    </w:p>
    <w:p>
      <w:pPr>
        <w:spacing w:after="120"/>
        <w:jc w:val="both"/>
      </w:pPr>
      <w:r>
        <w:rPr>
          <w:rFonts w:ascii="Calibri" w:hAnsi="Calibri"/>
          <w:b w:val="0"/>
          <w:i w:val="0"/>
          <w:sz w:val="22"/>
        </w:rPr>
        <w:t>1. Mängelbeseitigung: Die Beklagte wird verurteilt, die an dem Werkstattgebäude (Baukörper 2) des Bauvorhabens Saalbau Wendelstein gGmbH, Wittelsbacherstrase 102, 83022 Rosenheim, festgestellten Baumängel zu beseitigen, insbesondere die Rissbildung in der Bodenplatte (14 Risse, Breiten bis 1,4 mm), den Ausfall der Fußbodenheizung Heizkreis 3, die undichten Schächte S3 und S7, die fehlende Brandschutzabdichtung KD-03 sowie die nicht angeschlossene Notbeleuchtung NK-4 und NK-7.</w:t>
      </w:r>
    </w:p>
    <w:p>
      <w:pPr>
        <w:spacing w:after="120"/>
        <w:jc w:val="both"/>
      </w:pPr>
      <w:r>
        <w:rPr>
          <w:rFonts w:ascii="Calibri" w:hAnsi="Calibri"/>
          <w:b w:val="0"/>
          <w:i w:val="0"/>
          <w:sz w:val="22"/>
        </w:rPr>
        <w:t>2. Zahlung: Die Beklagte wird verurteilt, an die Klägerin 180.200,00 EUR nebst Zinsen in Höhe von 9 Prozentpunkten über dem Basiszinssatz seit dem 01. Juli 2026 zu zahlen.</w:t>
      </w:r>
    </w:p>
    <w:p>
      <w:pPr>
        <w:spacing w:after="120"/>
        <w:jc w:val="both"/>
      </w:pPr>
      <w:r>
        <w:rPr>
          <w:rFonts w:ascii="Calibri" w:hAnsi="Calibri"/>
          <w:b w:val="0"/>
          <w:i w:val="0"/>
          <w:sz w:val="22"/>
        </w:rPr>
        <w:t>3. Feststellung: Es wird festgestellt, dass die Beklagte verpflichtet ist, der Klägerin alle zukünftigen Schäden zu ersetzen, die durch die Mängel der Bodenplatte, der Fußbodenheizung und der Schächte des Werkstattgebäudes entstehen.</w:t>
      </w:r>
    </w:p>
    <w:p>
      <w:pPr>
        <w:spacing w:after="120"/>
        <w:jc w:val="both"/>
      </w:pPr>
      <w:r>
        <w:rPr>
          <w:rFonts w:ascii="Calibri" w:hAnsi="Calibri"/>
          <w:b w:val="0"/>
          <w:i w:val="0"/>
          <w:sz w:val="22"/>
        </w:rPr>
        <w:t>4. Kosten: Die Beklagte trägt die Kosten des Rechtsstreits.</w:t>
      </w:r>
    </w:p>
    <w:p>
      <w:pPr>
        <w:spacing w:before="280" w:after="120"/>
      </w:pPr>
      <w:r>
        <w:rPr>
          <w:rFonts w:ascii="Calibri" w:hAnsi="Calibri"/>
          <w:b/>
          <w:i w:val="0"/>
          <w:color w:val="1B474D"/>
          <w:sz w:val="24"/>
        </w:rPr>
        <w:t>I. Parteien und Vertragsverhältnis</w:t>
      </w:r>
    </w:p>
    <w:p>
      <w:pPr>
        <w:spacing w:after="120"/>
        <w:jc w:val="both"/>
      </w:pPr>
      <w:r>
        <w:rPr>
          <w:rFonts w:ascii="Calibri" w:hAnsi="Calibri"/>
          <w:b w:val="0"/>
          <w:i w:val="0"/>
          <w:sz w:val="22"/>
        </w:rPr>
        <w:t>Die Klägerin, die Saalbau Wendelstein gGmbH, ist eine gemeinnützige GmbH mit Sitz in Rosenheim (HRB 14 887 AG Rosenheim). Zweck der Gesellschaft ist der Betrieb von Kulturveranstaltungsstätten (Kulturhaus Wendelstein, Konzertsaal). Alleinige Gesellschafterin ist die Stadt Rosenheim. Die Beklagte, die Bauer-Hoch GmbH &amp; Co. KG, ist ein Bauunternehmen mit Sitz in Traunstein (HRA 7 341 AG Traunstein).</w:t>
      </w:r>
    </w:p>
    <w:p>
      <w:pPr>
        <w:spacing w:after="120"/>
        <w:jc w:val="both"/>
      </w:pPr>
      <w:r>
        <w:rPr>
          <w:rFonts w:ascii="Calibri" w:hAnsi="Calibri"/>
          <w:b w:val="0"/>
          <w:i w:val="0"/>
          <w:sz w:val="22"/>
        </w:rPr>
        <w:t>Die Parteien schlossen am 12. Juli 2023 einen Generalunternehmervertrag (GU-Vertrag) auf der Grundlage der VOB/B. Vertragsgegenstand war der schлüsselfertige Neubau von Probesaal (BK 1), Werkstätten (BK 2) und Lagerhalle (BK 3) auf dem Grundstück Wittelsbacherstrase 102, 83022 Rosenheim. Pauschalpreis: 4.280.000 EUR netto (Anlage K 1). Die Klägerin hat bisher 3.450.000 EUR netto bezahlt.</w:t>
      </w:r>
    </w:p>
    <w:p>
      <w:pPr>
        <w:spacing w:before="280" w:after="120"/>
      </w:pPr>
      <w:r>
        <w:rPr>
          <w:rFonts w:ascii="Calibri" w:hAnsi="Calibri"/>
          <w:b/>
          <w:i w:val="0"/>
          <w:color w:val="1B474D"/>
          <w:sz w:val="24"/>
        </w:rPr>
        <w:t>II. Festgestellte Mängel</w:t>
      </w:r>
    </w:p>
    <w:p>
      <w:pPr>
        <w:spacing w:after="120"/>
        <w:jc w:val="both"/>
      </w:pPr>
      <w:r>
        <w:rPr>
          <w:rFonts w:ascii="Calibri" w:hAnsi="Calibri"/>
          <w:b w:val="0"/>
          <w:i w:val="0"/>
          <w:sz w:val="22"/>
        </w:rPr>
        <w:t>Im Februar 2026 wurden an der Bodenplatte des Werkstattgebäudes erste Risse festgestellt. Die Klägerin beauftragte Dipl.-Ing. Helmut Riedhof, der nach Begehungen am 22.02. und 01.03.2026 sein Gutachten am 02.04.2026 erstattete (Anlage K 2). Das Gutachten stellt 14 Risse mit Breiten bis 1,4 mm fest, davon 6 durchgehend. Ursache: Verdichtungsgrad D = 0,55 statt vertraglicher D &gt;= 0,75 sowie fehlende Randstabbewehrung Ø 14 mm im Schachtbereich (Abweichung von Bewehrungsplan Pos. 3.1). Zusätzlich: Ausfall Heizkreis 3, Schächte S3 und S7 undicht, Brandschutzabdichtung KD-03 fehlt, Stromschienen nicht geerdet, Notbeleuchtung NK-4/NK-7 nicht angeschlossen.</w:t>
      </w:r>
    </w:p>
    <w:p>
      <w:pPr>
        <w:spacing w:after="120"/>
        <w:jc w:val="both"/>
      </w:pPr>
      <w:r>
        <w:rPr>
          <w:rFonts w:ascii="Calibri" w:hAnsi="Calibri"/>
          <w:b w:val="0"/>
          <w:i w:val="0"/>
          <w:sz w:val="22"/>
        </w:rPr>
        <w:t>Beweis: Gutachten SV Riedhof (Anlage K 2); Sachverständiger Riedhof; Sachverständiger Prof. Dr. Seibold (gerichtlich bestellt Az. 2 OH 7/26); Augenschein; Elektroprüfprotokoll 12.03.2026 (Anlage K 3); Mängelliste 14.04.2026 (Anlage K 5).</w:t>
      </w:r>
    </w:p>
    <w:p>
      <w:pPr>
        <w:spacing w:before="280" w:after="120"/>
      </w:pPr>
      <w:r>
        <w:rPr>
          <w:rFonts w:ascii="Calibri" w:hAnsi="Calibri"/>
          <w:b/>
          <w:i w:val="0"/>
          <w:color w:val="1B474D"/>
          <w:sz w:val="24"/>
        </w:rPr>
        <w:t>III. Mängelrüge und Fristsetzung</w:t>
      </w:r>
    </w:p>
    <w:p>
      <w:pPr>
        <w:spacing w:after="120"/>
        <w:jc w:val="both"/>
      </w:pPr>
      <w:r>
        <w:rPr>
          <w:rFonts w:ascii="Calibri" w:hAnsi="Calibri"/>
          <w:b w:val="0"/>
          <w:i w:val="0"/>
          <w:sz w:val="22"/>
        </w:rPr>
        <w:t>Die Klägerin hat mit Schreiben der Kanzlei Niedermair vom 22.04.2026 Fristsetzung zur Nacherfüllung gesetzt. Die kritischen Mängel waren bis 30.05.2026 zu beseitigen. Die Beklagte hat mit Schreiben ihres Rechtsanwalts vom 29.04.2026 die wesentlichen Mängelrügen zurückgewiesen (Anlage K 6). Die Fristen sind abgelaufen; die Mängel wurden nicht beseitigt.</w:t>
      </w:r>
    </w:p>
    <w:p>
      <w:pPr>
        <w:spacing w:before="280" w:after="120"/>
      </w:pPr>
      <w:r>
        <w:rPr>
          <w:rFonts w:ascii="Calibri" w:hAnsi="Calibri"/>
          <w:b/>
          <w:i w:val="0"/>
          <w:color w:val="1B474D"/>
          <w:sz w:val="24"/>
        </w:rPr>
        <w:t>IV. Rechtliche Grundlage</w:t>
      </w:r>
    </w:p>
    <w:p>
      <w:pPr>
        <w:spacing w:after="120"/>
        <w:jc w:val="both"/>
      </w:pPr>
      <w:r>
        <w:rPr>
          <w:rFonts w:ascii="Calibri" w:hAnsi="Calibri"/>
          <w:b w:val="0"/>
          <w:i w:val="0"/>
          <w:sz w:val="22"/>
        </w:rPr>
        <w:t>Der Anspruch auf Mängelbeseitigung ergibt sich aus § 13 Abs. 5 Nr. 1 VOB/B. Der Zahlungsanspruch (Schadensersatz statt Mängelbeseitigung, § 13 Abs. 5 Nr. 2 VOB/B) beträgt 180.200 EUR netto gemäß Kostenschätzung SV Riedhof. Die Verjährung ist gehemmt durch das selbständige Beweisverfahren Az. 2 OH 7/26 LG Traunstein (§ 204 Abs. 1 Nr. 7 BGB). Der Feststellungsantrag ist nach § 256 ZPO zulässig, da nicht alle zukünftigen Schäden bezifferbar sind. Gerichtsstand Traunstein nach § 17.3 GU-Vertrag.</w:t>
      </w:r>
    </w:p>
    <w:p>
      <w:pPr>
        <w:spacing w:before="280" w:after="120"/>
      </w:pPr>
      <w:r>
        <w:rPr>
          <w:rFonts w:ascii="Calibri" w:hAnsi="Calibri"/>
          <w:b/>
          <w:i w:val="0"/>
          <w:color w:val="1B474D"/>
          <w:sz w:val="24"/>
        </w:rPr>
        <w:t>V. Beweis</w:t>
      </w:r>
    </w:p>
    <w:p>
      <w:pPr>
        <w:spacing w:after="120"/>
        <w:jc w:val="both"/>
      </w:pPr>
      <w:r>
        <w:rPr>
          <w:rFonts w:ascii="Calibri" w:hAnsi="Calibri"/>
          <w:b w:val="0"/>
          <w:i w:val="0"/>
          <w:sz w:val="22"/>
        </w:rPr>
        <w:t>Beweis: Gutachten SV Riedhof (Anlage K 2); SV Riedhof; SV Prof. Dr. Seibold (gerichtlich bestellt); Augenschein; Elektroprüfprotokoll (K 3); Mängelliste (K 5); Mängelrüge (K 7); Parteivernehmung Ehrhardt-Vogler; Urkunden.</w:t>
      </w:r>
    </w:p>
    <w:p>
      <w:pPr>
        <w:spacing w:after="80"/>
      </w:pPr>
    </w:p>
    <w:p>
      <w:pPr>
        <w:spacing w:after="120"/>
        <w:jc w:val="left"/>
      </w:pPr>
      <w:r>
        <w:rPr>
          <w:rFonts w:ascii="Calibri" w:hAnsi="Calibri"/>
          <w:b w:val="0"/>
          <w:i w:val="0"/>
          <w:sz w:val="22"/>
        </w:rPr>
        <w:t>Rosenheim, [Datum Einreichung]</w:t>
      </w:r>
    </w:p>
    <w:p>
      <w:pPr>
        <w:spacing w:after="80"/>
      </w:pPr>
    </w:p>
    <w:p>
      <w:pPr>
        <w:spacing w:after="80"/>
      </w:pPr>
    </w:p>
    <w:p>
      <w:pPr>
        <w:spacing w:after="120"/>
        <w:jc w:val="left"/>
      </w:pPr>
      <w:r>
        <w:rPr>
          <w:rFonts w:ascii="Calibri" w:hAnsi="Calibri"/>
          <w:b/>
          <w:i w:val="0"/>
          <w:sz w:val="22"/>
        </w:rPr>
        <w:t>Dr. Henriette Niedermair</w:t>
      </w:r>
    </w:p>
    <w:p>
      <w:pPr>
        <w:spacing w:after="120"/>
        <w:jc w:val="left"/>
      </w:pPr>
      <w:r>
        <w:rPr>
          <w:rFonts w:ascii="Calibri" w:hAnsi="Calibri"/>
          <w:b w:val="0"/>
          <w:i w:val="0"/>
          <w:sz w:val="22"/>
        </w:rPr>
        <w:t>Rechtsanwältin · Fachanwältin für Bau- und Architektenrecht</w:t>
      </w:r>
    </w:p>
    <w:p>
      <w:pPr>
        <w:spacing w:after="80"/>
      </w:pPr>
    </w:p>
    <w:p>
      <w:pPr>
        <w:spacing w:after="120"/>
        <w:jc w:val="left"/>
      </w:pPr>
      <w:r>
        <w:rPr>
          <w:rFonts w:ascii="Calibri" w:hAnsi="Calibri"/>
          <w:b w:val="0"/>
          <w:i w:val="0"/>
          <w:sz w:val="18"/>
        </w:rPr>
        <w:t>Anlagen: K 1: GU-Vertrag 12.07.2023 · K 2: Gutachten Riedhof 02.04.2026 · K 3: Elektroprüfprotokoll · K 4: Notbeleuchtungsprotokoll · K 5: Mängelliste 14.04.2026 · K 6: Antwort Strohmayer 29.04.2026 · K 7: Mängelrüge 22.04.2026 · K 8: Vollmacht</w:t>
      </w:r>
    </w:p>
    <w:sectPr w:rsidR="00FC693F" w:rsidRPr="0006063C" w:rsidSect="00034616">
      <w:pgSz w:w="12240" w:h="15840"/>
      <w:pgMar w:top="1417" w:right="1417"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