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Calibri" w:hAnsi="Calibri"/>
          <w:b/>
          <w:i w:val="0"/>
          <w:color w:val="1B474D"/>
          <w:sz w:val="32"/>
        </w:rPr>
        <w:t>KANZLEI NIEDERMAIR BAURECHT</w:t>
      </w:r>
    </w:p>
    <w:p>
      <w:pPr>
        <w:jc w:val="center"/>
      </w:pPr>
      <w:r>
        <w:rPr>
          <w:rFonts w:ascii="Calibri" w:hAnsi="Calibri"/>
          <w:b w:val="0"/>
          <w:i w:val="0"/>
          <w:color w:val="7A7974"/>
          <w:sz w:val="20"/>
        </w:rPr>
        <w:t>Dr. Henriette Niedermair · Fachanwältin für Bau- und Architektenrecht</w:t>
      </w:r>
    </w:p>
    <w:p>
      <w:pPr>
        <w:jc w:val="center"/>
      </w:pPr>
      <w:r>
        <w:rPr>
          <w:rFonts w:ascii="Calibri" w:hAnsi="Calibri"/>
          <w:b w:val="0"/>
          <w:i w:val="0"/>
          <w:color w:val="7A7974"/>
          <w:sz w:val="18"/>
        </w:rPr>
        <w:t>Ludwigstraße 18 · 83022 Rosenheim · Tel. 08031/44 77 20 · Fax 08031/44 77 29</w:t>
      </w:r>
    </w:p>
    <w:p>
      <w:pPr>
        <w:spacing w:after="80"/>
      </w:pPr>
    </w:p>
    <w:p>
      <w:pPr>
        <w:spacing w:after="120"/>
        <w:jc w:val="left"/>
      </w:pPr>
      <w:r>
        <w:rPr>
          <w:rFonts w:ascii="Calibri" w:hAnsi="Calibri"/>
          <w:b w:val="0"/>
          <w:i w:val="0"/>
          <w:sz w:val="20"/>
        </w:rPr>
        <w:t>Per Telefax und Einwurf-Einschreiben</w:t>
      </w:r>
    </w:p>
    <w:p>
      <w:pPr>
        <w:spacing w:after="120"/>
        <w:jc w:val="left"/>
      </w:pPr>
      <w:r>
        <w:rPr>
          <w:rFonts w:ascii="Calibri" w:hAnsi="Calibri"/>
          <w:b w:val="0"/>
          <w:i w:val="0"/>
          <w:sz w:val="22"/>
        </w:rPr>
        <w:t>Rechtsanwalt Konrad Strohmayer</w:t>
      </w:r>
    </w:p>
    <w:p>
      <w:pPr>
        <w:spacing w:after="120"/>
        <w:jc w:val="left"/>
      </w:pPr>
      <w:r>
        <w:rPr>
          <w:rFonts w:ascii="Calibri" w:hAnsi="Calibri"/>
          <w:b w:val="0"/>
          <w:i w:val="0"/>
          <w:sz w:val="22"/>
        </w:rPr>
        <w:t>Fachanwalt für Bau- und Architektenrecht</w:t>
      </w:r>
    </w:p>
    <w:p>
      <w:pPr>
        <w:spacing w:after="120"/>
        <w:jc w:val="left"/>
      </w:pPr>
      <w:r>
        <w:rPr>
          <w:rFonts w:ascii="Calibri" w:hAnsi="Calibri"/>
          <w:b w:val="0"/>
          <w:i w:val="0"/>
          <w:sz w:val="22"/>
        </w:rPr>
        <w:t>Schrannenplatz 5</w:t>
      </w:r>
    </w:p>
    <w:p>
      <w:pPr>
        <w:spacing w:after="120"/>
        <w:jc w:val="left"/>
      </w:pPr>
      <w:r>
        <w:rPr>
          <w:rFonts w:ascii="Calibri" w:hAnsi="Calibri"/>
          <w:b w:val="0"/>
          <w:i w:val="0"/>
          <w:sz w:val="22"/>
        </w:rPr>
        <w:t>83278 Traunstein</w:t>
      </w:r>
    </w:p>
    <w:p>
      <w:pPr>
        <w:spacing w:after="120"/>
        <w:jc w:val="left"/>
      </w:pPr>
      <w:r>
        <w:rPr>
          <w:rFonts w:ascii="Calibri" w:hAnsi="Calibri"/>
          <w:b w:val="0"/>
          <w:i w:val="0"/>
          <w:sz w:val="22"/>
        </w:rPr>
        <w:t>Fax: 0861 / 97 44 33</w:t>
      </w:r>
    </w:p>
    <w:p>
      <w:pPr>
        <w:spacing w:after="80"/>
      </w:pPr>
    </w:p>
    <w:p>
      <w:pPr>
        <w:jc w:val="right"/>
      </w:pPr>
      <w:r>
        <w:rPr>
          <w:rFonts w:ascii="Calibri" w:hAnsi="Calibri"/>
          <w:b w:val="0"/>
          <w:i w:val="0"/>
          <w:sz w:val="22"/>
        </w:rPr>
        <w:t>Rosenheim, 22. April 2026</w:t>
      </w:r>
    </w:p>
    <w:p>
      <w:pPr>
        <w:spacing w:after="80"/>
      </w:pPr>
    </w:p>
    <w:p>
      <w:pPr>
        <w:spacing w:after="120"/>
        <w:jc w:val="left"/>
      </w:pPr>
      <w:r>
        <w:rPr>
          <w:rFonts w:ascii="Calibri" w:hAnsi="Calibri"/>
          <w:b/>
          <w:i w:val="0"/>
          <w:sz w:val="22"/>
        </w:rPr>
        <w:t>Betr.: Bauvorhaben Saalbau Wendelstein gGmbH, Wittelsbacherstrase 102, 83022 Rosenheim</w:t>
      </w:r>
    </w:p>
    <w:p>
      <w:pPr>
        <w:spacing w:after="120"/>
        <w:jc w:val="left"/>
      </w:pPr>
      <w:r>
        <w:rPr>
          <w:rFonts w:ascii="Calibri" w:hAnsi="Calibri"/>
          <w:b w:val="0"/>
          <w:i w:val="0"/>
          <w:sz w:val="22"/>
        </w:rPr>
        <w:t>Neubau Probesaal, Werkstätten, Lagerhalle — GU-Vertrag VOB/B 12.07.2023</w:t>
      </w:r>
    </w:p>
    <w:p>
      <w:pPr>
        <w:spacing w:after="120"/>
        <w:jc w:val="left"/>
      </w:pPr>
      <w:r>
        <w:rPr>
          <w:rFonts w:ascii="Calibri" w:hAnsi="Calibri"/>
          <w:b w:val="0"/>
          <w:i w:val="0"/>
          <w:sz w:val="22"/>
        </w:rPr>
        <w:t>Unsere Mandantin: Saalbau Wendelstein gGmbH, Monika Ehrhardt-Vogler</w:t>
      </w:r>
    </w:p>
    <w:p>
      <w:pPr>
        <w:spacing w:after="120"/>
        <w:jc w:val="left"/>
      </w:pPr>
      <w:r>
        <w:rPr>
          <w:rFonts w:ascii="Calibri" w:hAnsi="Calibri"/>
          <w:b w:val="0"/>
          <w:i w:val="0"/>
          <w:sz w:val="22"/>
        </w:rPr>
        <w:t>Ihr Mandant: Bauer-Hoch GmbH &amp; Co. KG</w:t>
      </w:r>
    </w:p>
    <w:p>
      <w:pPr>
        <w:spacing w:after="120"/>
        <w:jc w:val="left"/>
      </w:pPr>
      <w:r>
        <w:rPr>
          <w:rFonts w:ascii="Calibri" w:hAnsi="Calibri"/>
          <w:b w:val="0"/>
          <w:i w:val="0"/>
          <w:sz w:val="22"/>
        </w:rPr>
        <w:t>AZ Gericht: LG Traunstein 2 O 318/26 / 2 OH 7/26</w:t>
      </w:r>
    </w:p>
    <w:p>
      <w:pPr>
        <w:spacing w:after="80"/>
      </w:pPr>
    </w:p>
    <w:p>
      <w:pPr>
        <w:spacing w:after="80"/>
      </w:pPr>
    </w:p>
    <w:p>
      <w:pPr>
        <w:jc w:val="center"/>
      </w:pPr>
      <w:r>
        <w:rPr>
          <w:rFonts w:ascii="Calibri" w:hAnsi="Calibri"/>
          <w:b/>
          <w:i w:val="0"/>
          <w:sz w:val="26"/>
        </w:rPr>
        <w:t>Mängelrüge und Fristsetzung zur Nacherfüllung gemäß § 13 Abs. 5 VOB/B</w:t>
      </w:r>
    </w:p>
    <w:p>
      <w:pPr>
        <w:spacing w:after="80"/>
      </w:pPr>
    </w:p>
    <w:p>
      <w:pPr>
        <w:spacing w:after="120"/>
        <w:jc w:val="both"/>
      </w:pPr>
      <w:r>
        <w:rPr>
          <w:rFonts w:ascii="Calibri" w:hAnsi="Calibri"/>
          <w:b w:val="0"/>
          <w:i w:val="0"/>
          <w:sz w:val="22"/>
        </w:rPr>
        <w:t>Sehr geehrter Herr Kollege Strohmayer,</w:t>
      </w:r>
    </w:p>
    <w:p>
      <w:pPr>
        <w:spacing w:after="120"/>
        <w:jc w:val="both"/>
      </w:pPr>
      <w:r>
        <w:rPr>
          <w:rFonts w:ascii="Calibri" w:hAnsi="Calibri"/>
          <w:b w:val="0"/>
          <w:i w:val="0"/>
          <w:sz w:val="22"/>
        </w:rPr>
        <w:t>die Saalbau Wendelstein gGmbH — nachfolgend Bauherrin — hat uns mit der Interessenwahrnehmung gegenüber Ihrer Mandantin, der Bauer-Hoch GmbH &amp; Co. KG — nachfolgend GU — beauftragt. Wir zeigen die anwaltliche Vertretung an und fordern Sie auf, zukünftig sämtliche Schriftstücke und Mitteilungen ausschließlich an unsere Kanzlei zu richten.</w:t>
      </w:r>
    </w:p>
    <w:p>
      <w:pPr>
        <w:spacing w:before="280" w:after="120"/>
      </w:pPr>
      <w:r>
        <w:rPr>
          <w:rFonts w:ascii="Calibri" w:hAnsi="Calibri"/>
          <w:b/>
          <w:i w:val="0"/>
          <w:color w:val="1B474D"/>
          <w:sz w:val="24"/>
        </w:rPr>
        <w:t>I. Sachverhalt</w:t>
      </w:r>
    </w:p>
    <w:p>
      <w:pPr>
        <w:spacing w:after="120"/>
        <w:jc w:val="both"/>
      </w:pPr>
      <w:r>
        <w:rPr>
          <w:rFonts w:ascii="Calibri" w:hAnsi="Calibri"/>
          <w:b w:val="0"/>
          <w:i w:val="0"/>
          <w:sz w:val="22"/>
        </w:rPr>
        <w:t>Im Rahmen des oben bezeichneten Bauvorhabens hat der GU die Bauleistungen für den Neubau des Werkstattgebäudes (Baukörper 2) und des Probesaals (Baukörper 1) erbracht. Der Probesaal ist seit Oktober 2025 in Betrieb. Das Werkstattgebäude befindet sich im Innenausbau. Im Februar 2026 wurden am Werkstattgebäude erste Risserscheinungen in der Bodenplatte festgestellt. Unsere Mandantin hat daraufhin den öffentlich bestellten und vereidigten Sachverständigen Dipl.-Ing. Helmut Riedhof, Sachverständigenbüro Riedhof, Bad Reichenhall, beauftragt. Dieser hat am 22. Februar 2026 und 01. März 2026 Begehungen durchgeführt und unter dem 02. April 2026 sein Sachverständigengutachten erstattet (Az. GU-01/2026).</w:t>
      </w:r>
    </w:p>
    <w:p>
      <w:pPr>
        <w:spacing w:after="120"/>
        <w:jc w:val="both"/>
      </w:pPr>
      <w:r>
        <w:rPr>
          <w:rFonts w:ascii="Calibri" w:hAnsi="Calibri"/>
          <w:b w:val="0"/>
          <w:i w:val="0"/>
          <w:sz w:val="22"/>
        </w:rPr>
        <w:t>Das Gutachten stellt im Einzelnen fest (wir verweisen auf die Endfassung, Anlage 1):</w:t>
      </w:r>
    </w:p>
    <w:p>
      <w:pPr>
        <w:spacing w:after="120"/>
        <w:jc w:val="both"/>
      </w:pPr>
      <w:r>
        <w:rPr>
          <w:rFonts w:ascii="Calibri" w:hAnsi="Calibri"/>
          <w:b w:val="0"/>
          <w:i w:val="0"/>
          <w:sz w:val="22"/>
        </w:rPr>
        <w:t>1. Rissbildung Bodenplatte: Es wurden 14 Risse in der Bodenplatte des Werkstattgebäudes dokumentiert, mit Rissbreiten von 0,2 bis 1,4 mm, davon 6 durchgehende Risse. Der Sachverständige ermittelt als Ursachen: Ungenügende Verdichtung des Schotterbetts (Lagerungsdichte D = 0,55; Anforderung: D &gt;= 0,75 gem. LV Pos. 4.2.1 und DIN 1054, d.h. Unterschreitung um ca. 27 %) sowie fehlende Randstabbewehrung Ø 14 mm im Schachtbereich (Positionsplan Pos. 3.1 des IBr Dr. Eschelmann).</w:t>
      </w:r>
    </w:p>
    <w:p>
      <w:pPr>
        <w:spacing w:after="120"/>
        <w:jc w:val="both"/>
      </w:pPr>
      <w:r>
        <w:rPr>
          <w:rFonts w:ascii="Calibri" w:hAnsi="Calibri"/>
          <w:b w:val="0"/>
          <w:i w:val="0"/>
          <w:sz w:val="22"/>
        </w:rPr>
        <w:t>2. Ausfall Heizkreis 3: Der Heizkreis 3 der Fußbodenheizung (Raum Metallwerkstatt, ca. 180 m²) ist vollständig ausgefallen. Ursache: wahrscheinlich Rohrbruch oder Leitungsquetschung durch Rissversatz in der Bodenplatte.</w:t>
      </w:r>
    </w:p>
    <w:p>
      <w:pPr>
        <w:spacing w:after="120"/>
        <w:jc w:val="both"/>
      </w:pPr>
      <w:r>
        <w:rPr>
          <w:rFonts w:ascii="Calibri" w:hAnsi="Calibri"/>
          <w:b w:val="0"/>
          <w:i w:val="0"/>
          <w:sz w:val="22"/>
        </w:rPr>
        <w:t>3. Undichte Schächte: Die Schächte S3 und S7 weisen Abdichtungsmängel auf. Bei Schacht S3 wurde ein Wassereintritt von 0,28 L/h gemessen. Fehlende Verstärkungseinlage und kein Fugenband.</w:t>
      </w:r>
    </w:p>
    <w:p>
      <w:pPr>
        <w:spacing w:after="120"/>
        <w:jc w:val="both"/>
      </w:pPr>
      <w:r>
        <w:rPr>
          <w:rFonts w:ascii="Calibri" w:hAnsi="Calibri"/>
          <w:b w:val="0"/>
          <w:i w:val="0"/>
          <w:sz w:val="22"/>
        </w:rPr>
        <w:t>4. Brandschutz und Elektro: Kabeldurchführung KD-03 ohne Brandschutzabdichtung; Bühnenstromschienen (4 Stück) nicht geerdet (Elektroprof 12.03.2026 negativ); Notbeleuchtung NK-4 und NK-7 nicht angeschlossen (ArbStättV, ASR A3.4/3).</w:t>
      </w:r>
    </w:p>
    <w:p>
      <w:pPr>
        <w:spacing w:after="120"/>
        <w:jc w:val="both"/>
      </w:pPr>
      <w:r>
        <w:rPr>
          <w:rFonts w:ascii="Calibri" w:hAnsi="Calibri"/>
          <w:b w:val="0"/>
          <w:i w:val="0"/>
          <w:sz w:val="22"/>
        </w:rPr>
        <w:t>Diese und weitere Mängel sind in der Mängelliste vom 14. April 2026 (Anlage 2, 23 Positionen) vollständig dokumentiert.</w:t>
      </w:r>
    </w:p>
    <w:p>
      <w:pPr>
        <w:spacing w:before="280" w:after="120"/>
      </w:pPr>
      <w:r>
        <w:rPr>
          <w:rFonts w:ascii="Calibri" w:hAnsi="Calibri"/>
          <w:b/>
          <w:i w:val="0"/>
          <w:color w:val="1B474D"/>
          <w:sz w:val="24"/>
        </w:rPr>
        <w:t>II. Rechtliche Einordnung</w:t>
      </w:r>
    </w:p>
    <w:p>
      <w:pPr>
        <w:spacing w:after="120"/>
        <w:jc w:val="both"/>
      </w:pPr>
      <w:r>
        <w:rPr>
          <w:rFonts w:ascii="Calibri" w:hAnsi="Calibri"/>
          <w:b w:val="0"/>
          <w:i w:val="0"/>
          <w:sz w:val="22"/>
        </w:rPr>
        <w:t>Die festgestellten Baumängel begründen Ansprüche unserer Mandantin nach § 13 Abs. 5 VOB/B auf Nacherfüllung (Mängelbeseitigung). Bei wesentlichen Mängeln berechtigt § 12 Abs. 3 VOB/B zur Verweigerung der Abnahme. Dies hat unsere Mandantin mit Schreiben vom 14. April 2026 erklärt und erklärt es hiermit erneut. Die Wesentlichkeit ergibt sich insbesondere aus den sicherheitsrelevanten Mängeln (Brandschutz, VDE 0100, ArbStättV) und dem vollständigen Ausfall der Heizung in der Metallwerkstatt (Betrieb eingeschränkt). Ihre Mandantin ist verpflichtet, die aufgeführten Mängel zu beseitigen.</w:t>
      </w:r>
    </w:p>
    <w:p>
      <w:pPr>
        <w:spacing w:before="280" w:after="120"/>
      </w:pPr>
      <w:r>
        <w:rPr>
          <w:rFonts w:ascii="Calibri" w:hAnsi="Calibri"/>
          <w:b/>
          <w:i w:val="0"/>
          <w:color w:val="1B474D"/>
          <w:sz w:val="24"/>
        </w:rPr>
        <w:t>III. Fristsetzung</w:t>
      </w:r>
    </w:p>
    <w:p>
      <w:pPr>
        <w:spacing w:after="120"/>
        <w:jc w:val="both"/>
      </w:pPr>
      <w:r>
        <w:rPr>
          <w:rFonts w:ascii="Calibri" w:hAnsi="Calibri"/>
          <w:b w:val="0"/>
          <w:i w:val="0"/>
          <w:sz w:val="22"/>
        </w:rPr>
        <w:t>Wir setzen Ihrer Mandantin für die Beseitigung der Mängel folgende Fristen:</w:t>
      </w:r>
    </w:p>
    <w:p>
      <w:pPr>
        <w:spacing w:after="120"/>
        <w:jc w:val="both"/>
      </w:pPr>
      <w:r>
        <w:rPr>
          <w:rFonts w:ascii="Calibri" w:hAnsi="Calibri"/>
          <w:b w:val="0"/>
          <w:i w:val="0"/>
          <w:sz w:val="22"/>
        </w:rPr>
        <w:t>Frist 1 — Kritische Mängel (Positionen 1, 2, 4, 10, 15, 19 der Mängelliste): Beseitigung bis zum 30. Mai 2026. Darunter fallen: Rissbildung Bodenplatte, Ausfall Heizkreis 3, Schacht S3 undicht, fehlende Brandschutzabdichtung KD-03, nicht geerdete Bühnenstromschienen, Notbeleuchtung NK-4/NK-7 nicht angeschlossen.</w:t>
      </w:r>
    </w:p>
    <w:p>
      <w:pPr>
        <w:spacing w:after="120"/>
        <w:jc w:val="both"/>
      </w:pPr>
      <w:r>
        <w:rPr>
          <w:rFonts w:ascii="Calibri" w:hAnsi="Calibri"/>
          <w:b w:val="0"/>
          <w:i w:val="0"/>
          <w:sz w:val="22"/>
        </w:rPr>
        <w:t>Frist 2 — Erhebliche Mängel (Positionen 3, 5, 7–9, 11–14, 17, 18, 20–22): Beseitigung bis zum 15. Juni 2026.</w:t>
      </w:r>
    </w:p>
    <w:p>
      <w:pPr>
        <w:spacing w:after="120"/>
        <w:jc w:val="both"/>
      </w:pPr>
      <w:r>
        <w:rPr>
          <w:rFonts w:ascii="Calibri" w:hAnsi="Calibri"/>
          <w:b w:val="0"/>
          <w:i w:val="0"/>
          <w:sz w:val="22"/>
        </w:rPr>
        <w:t>Frist 3 — Optische/formale Mängel (Positionen 6, 13, 16, 23): Beseitigung bis zum 30. Juni 2026.</w:t>
      </w:r>
    </w:p>
    <w:p>
      <w:pPr>
        <w:spacing w:before="280" w:after="120"/>
      </w:pPr>
      <w:r>
        <w:rPr>
          <w:rFonts w:ascii="Calibri" w:hAnsi="Calibri"/>
          <w:b/>
          <w:i w:val="0"/>
          <w:color w:val="1B474D"/>
          <w:sz w:val="24"/>
        </w:rPr>
        <w:t>IV. Ankündigung weiterer Maßnahmen</w:t>
      </w:r>
    </w:p>
    <w:p>
      <w:pPr>
        <w:spacing w:after="120"/>
        <w:jc w:val="both"/>
      </w:pPr>
      <w:r>
        <w:rPr>
          <w:rFonts w:ascii="Calibri" w:hAnsi="Calibri"/>
          <w:b w:val="0"/>
          <w:i w:val="0"/>
          <w:sz w:val="22"/>
        </w:rPr>
        <w:t>Sollte Ihre Mandantin die gesetzten Fristen fruchtlos verstreichen lassen oder die Mängelbeseitigung verweigern, wird unsere Mandantin nach § 13 Abs. 5 Nr. 2 VOB/B die Mängelbeseitigung auf Kosten Ihrer Mandantin selbst vornehmen lassen. Darüber hinaus wird unsere Mandantin Schadensersatzansprüche gemäß § 13 Abs. 7 VOB/B geltend machen (vorläufige Schätzung nach Gutachten Riedhof: 180.200 EUR netto). Ein selbständiges Beweisverfahren wurde beim Landgericht Traunstein eingereicht (Az. 2 OH 7/26). Die Begehungen des gerichtlichen Sachverständigen sind von Ihrer Mandantin zu dulden und zu unterstützen. Die Gewährleistungsbürgschaft der Volksbank Traunstein (214.000 EUR) bleibt bis zur vollständigen Mängelbeseitigung einbehalten.</w:t>
      </w:r>
    </w:p>
    <w:p>
      <w:pPr>
        <w:spacing w:before="280" w:after="120"/>
      </w:pPr>
      <w:r>
        <w:rPr>
          <w:rFonts w:ascii="Calibri" w:hAnsi="Calibri"/>
          <w:b/>
          <w:i w:val="0"/>
          <w:color w:val="1B474D"/>
          <w:sz w:val="24"/>
        </w:rPr>
        <w:t>V. Abnahmeverweigerung</w:t>
      </w:r>
    </w:p>
    <w:p>
      <w:pPr>
        <w:spacing w:after="120"/>
        <w:jc w:val="both"/>
      </w:pPr>
      <w:r>
        <w:rPr>
          <w:rFonts w:ascii="Calibri" w:hAnsi="Calibri"/>
          <w:b w:val="0"/>
          <w:i w:val="0"/>
          <w:sz w:val="22"/>
        </w:rPr>
        <w:t>Unsere Mandantin hält an ihrer Verweigerung der Abnahme des Werkstattgebäudes gemäß § 12 Abs. 3 VOB/B ausdrücklich fest. Eine förmliche Abnahme kommt erst nach vollständiger Beseitigung der kritischen Mängel und Nachweis der Mangelfreiheit in Betracht.</w:t>
      </w:r>
    </w:p>
    <w:p>
      <w:pPr>
        <w:spacing w:after="80"/>
      </w:pPr>
    </w:p>
    <w:p>
      <w:pPr>
        <w:spacing w:after="120"/>
        <w:jc w:val="left"/>
      </w:pPr>
      <w:r>
        <w:rPr>
          <w:rFonts w:ascii="Calibri" w:hAnsi="Calibri"/>
          <w:b w:val="0"/>
          <w:i w:val="0"/>
          <w:sz w:val="22"/>
        </w:rPr>
        <w:t>Mit freundlichen kollegialen Grüßen</w:t>
      </w:r>
    </w:p>
    <w:p>
      <w:pPr>
        <w:spacing w:after="80"/>
      </w:pPr>
    </w:p>
    <w:p>
      <w:pPr>
        <w:spacing w:after="80"/>
      </w:pPr>
    </w:p>
    <w:p>
      <w:pPr>
        <w:spacing w:after="120"/>
        <w:jc w:val="left"/>
      </w:pPr>
      <w:r>
        <w:rPr>
          <w:rFonts w:ascii="Calibri" w:hAnsi="Calibri"/>
          <w:b/>
          <w:i w:val="0"/>
          <w:sz w:val="22"/>
        </w:rPr>
        <w:t>Dr. Henriette Niedermair</w:t>
      </w:r>
    </w:p>
    <w:p>
      <w:pPr>
        <w:spacing w:after="120"/>
        <w:jc w:val="left"/>
      </w:pPr>
      <w:r>
        <w:rPr>
          <w:rFonts w:ascii="Calibri" w:hAnsi="Calibri"/>
          <w:b w:val="0"/>
          <w:i w:val="0"/>
          <w:sz w:val="22"/>
        </w:rPr>
        <w:t>Rechtsanwältin · Fachanwältin für Bau- und Architektenrecht</w:t>
      </w:r>
    </w:p>
    <w:p>
      <w:pPr>
        <w:spacing w:after="80"/>
      </w:pPr>
    </w:p>
    <w:p>
      <w:pPr>
        <w:spacing w:after="120"/>
        <w:jc w:val="left"/>
      </w:pPr>
      <w:r>
        <w:rPr>
          <w:rFonts w:ascii="Calibri" w:hAnsi="Calibri"/>
          <w:b w:val="0"/>
          <w:i w:val="0"/>
          <w:sz w:val="18"/>
        </w:rPr>
        <w:t>Anlagen: Anlage 1: Gutachten SV Riedhof 02.04.2026 · Anlage 2: Mängelliste 14.04.2026 · Anlage 3: Vollmacht</w:t>
      </w:r>
    </w:p>
    <w:sectPr w:rsidR="00FC693F" w:rsidRPr="0006063C" w:rsidSect="00034616">
      <w:pgSz w:w="12240" w:h="15840"/>
      <w:pgMar w:top="1417" w:right="1417"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