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Kanzlei Roosendaal Birkenhainer Partners mbB</w:t>
      </w:r>
    </w:p>
    <w:p>
      <w:pPr>
        <w:pStyle w:val="Heading1"/>
      </w:pPr>
      <w:r>
        <w:t xml:space="preserve">Kanzleihandbuch Zitierweise</w:t>
      </w:r>
    </w:p>
    <w:p>
      <w:pPr>
        <w:pStyle w:val="Heading2"/>
      </w:pPr>
      <w:r>
        <w:t xml:space="preserve">Version 4.0 — Oktober 2025</w:t>
      </w:r>
    </w:p>
    <w:p>
      <w:r>
        <w:rPr>
          <w:b/>
          <w:bCs/>
        </w:rPr>
        <w:t xml:space="preserve">Federfuehrung: Dr. Henrik Roosendaal (Senior Partner)</w:t>
      </w:r>
    </w:p>
    <w:p>
      <w:r>
        <w:t xml:space="preserve">Erstellung: Dr. Sophia Pohlmann-Wittfeldt (Lehrbeauftragte HU Berlin)</w:t>
      </w:r>
    </w:p>
    <w:p>
      <w:r>
        <w:t xml:space="preserve">Knowledge Management: Moritz Lattermann</w:t>
      </w:r>
    </w:p>
    <w:p/>
    <w:p>
      <w:pPr>
        <w:pStyle w:val="Heading1"/>
      </w:pPr>
      <w:r>
        <w:t xml:space="preserve">1. Grundprinzipien</w:t>
      </w:r>
    </w:p>
    <w:p>
      <w:pPr>
        <w:pStyle w:val="Heading2"/>
      </w:pPr>
      <w:r>
        <w:t xml:space="preserve">1.1 Vorrang amtlicher Quellen</w:t>
      </w:r>
    </w:p>
    <w:p>
      <w:r>
        <w:t xml:space="preserve">Amtliche Sammlungen (BGHZ, BVerfGE, BFHE, BVerwGE, BSGE, BAGE) gehen freien und kommerziellen Quellen stets vor. Bei Mehrfach-Fundstellen wird die amtliche Sammlung zuerst genannt, dann die Fachzeitschrift, dann sonstige Quellen.</w:t>
      </w:r>
    </w:p>
    <w:p/>
    <w:p>
      <w:pPr>
        <w:pStyle w:val="Heading2"/>
      </w:pPr>
      <w:r>
        <w:t xml:space="preserve">1.2 BeckRS-Regelung (Neu in v4.0)</w:t>
      </w:r>
    </w:p>
    <w:p>
      <w:r>
        <w:t xml:space="preserve">BeckRS-Fundstellen duerfen nur ausgegeben werden, wenn ein aktiver Lizenzzugang zu Beck-Online dokumentiert ist. Das Plugin zitierweise-deutsches-recht gibt bei fehlender Verifikation einen Pruefvermerk aus (PV-BR).</w:t>
      </w:r>
    </w:p>
    <w:p/>
    <w:p>
      <w:pPr>
        <w:pStyle w:val="Heading2"/>
      </w:pPr>
      <w:r>
        <w:t xml:space="preserve">1.3 Palandt/Gruenenberg-Grenzjahr</w:t>
      </w:r>
    </w:p>
    <w:p>
      <w:r>
        <w:t xml:space="preserve">Auflagen bis 80. Aufl. (2021): Kurztitel Palandt. Ab 81. Aufl. (2022): Kurztitel Gruenenberg. Verwechslungen sind Fehler der Kategorie A (schwerwiegend).</w:t>
      </w:r>
    </w:p>
    <w:p/>
    <w:p>
      <w:pPr>
        <w:pStyle w:val="Heading1"/>
      </w:pPr>
      <w:r>
        <w:t xml:space="preserve">2. Zitierformate</w:t>
      </w:r>
    </w:p>
    <w:p>
      <w:pPr>
        <w:pStyle w:val="Heading2"/>
      </w:pPr>
      <w:r>
        <w:t xml:space="preserve">2.1 Rechtsprechung — Langformat</w:t>
      </w:r>
    </w:p>
    <w:p>
      <w:r>
        <w:rPr>
          <w:i/>
          <w:iCs/>
        </w:rPr>
        <w:t xml:space="preserve">BGH, Urt. v. 21.12.2021, Az. VI ZR 48/21, BGHZ 232, 133 (Rn. 18), NJW 2022, 1238 (1240), abrufbar unter: https://dejure.org/2021,40001 (abgerufen am 01.10.2025).</w:t>
      </w:r>
    </w:p>
    <w:p/>
    <w:p>
      <w:pPr>
        <w:pStyle w:val="Heading2"/>
      </w:pPr>
      <w:r>
        <w:t xml:space="preserve">2.2 Kommentare — Gruenenberg ab 2022</w:t>
      </w:r>
    </w:p>
    <w:p>
      <w:r>
        <w:rPr>
          <w:i/>
          <w:iCs/>
        </w:rPr>
        <w:t xml:space="preserve">Gruenenberg/Ellenberger, BGB, 83. Aufl. 2024, § 242 Rn. 27.</w:t>
      </w:r>
    </w:p>
    <w:p/>
    <w:p>
      <w:pPr>
        <w:pStyle w:val="Heading1"/>
      </w:pPr>
      <w:r>
        <w:t xml:space="preserve">3. URL-Pflicht und Archivierung</w:t>
      </w:r>
    </w:p>
    <w:p>
      <w:r>
        <w:t xml:space="preserve">Bei jeder Entscheidung, die frei online zugaenglich ist (dejure.org, openjur.de), ist die URL anzugeben. Format: abrufbar unter: [URL] (abgerufen am TT.MM.JJJJ).</w:t>
      </w:r>
    </w:p>
    <w:p/>
    <w:p>
      <w:pPr>
        <w:pStyle w:val="Heading1"/>
      </w:pPr>
      <w:r>
        <w:t xml:space="preserve">4. Rangfolge Mehrfach-Fundstellen</w:t>
      </w:r>
    </w:p>
    <w:p>
      <w:r>
        <w:t xml:space="preserve">1. Amtliche Sammlung (BGHZ, BVerfGE etc.) | 2. Fachzeitschrift (NJW, JZ) | 3. Spezialisierte Zeitschrift | 4. Freie Online-Quelle (dejure.org, openjur.de) | 5. BeckRS (nur mit Lizenzzugang)</w:t>
      </w:r>
    </w:p>
    <w:p/>
    <w:p>
      <w:pPr>
        <w:pStyle w:val="Heading1"/>
      </w:pPr>
      <w:r>
        <w:t xml:space="preserve">5. Pruefvermerk-Typen</w:t>
      </w:r>
    </w:p>
    <w:p>
      <w:r>
        <w:t xml:space="preserve">PV-BR: BeckRS-Sperre | PV-LM: Literatur-Modellwissen-Sperre | PV-UV: Unvollstaendiges Zitat | PV-URL: Fehlende Pflicht-URL | PV-RG: Rangfolge-Fehler | PV-PG: Palandt/Gruenenberg-Verwechslung</w:t>
      </w:r>
    </w:p>
    <w:p/>
    <w:p>
      <w:r>
        <w:rPr>
          <w:i/>
          <w:iCs/>
          <w:color w:val="7A7974"/>
        </w:rPr>
        <w:t xml:space="preserve">Stand: Oktober 2025 | Kanzlei Roosendaal Birkenhainer Partners mbB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Kanzleihandbuch Zitierweise v4.0 — Roosendaal Birkenhainer Partners mbB</dc:title>
  <dc:creator>Perplexity Computer</dc:creator>
  <dc:description>Kanzleihandbuch Zitierweise Version 4.0</dc:description>
  <cp:lastModifiedBy>Un-named</cp:lastModifiedBy>
  <cp:revision>1</cp:revision>
  <dcterms:created xsi:type="dcterms:W3CDTF">2026-05-30T21:23:51.224Z</dcterms:created>
  <dcterms:modified xsi:type="dcterms:W3CDTF">2026-05-30T21:23:51.224Z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