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Schulungsfolien-Zusammenfassung: Kanzleihandbuch Zitierweise v4.0</w:t>
      </w:r>
    </w:p>
    <w:p>
      <w:r>
        <w:rPr>
          <w:i/>
          <w:iCs/>
        </w:rPr>
        <w:t xml:space="preserve">Praesenzseminar 18.11.2025 | Referentin: Dr. Sophia Pohlmann-Wittfeldt (HU Berlin)</w:t>
      </w:r>
    </w:p>
    <w:p/>
    <w:p>
      <w:pPr>
        <w:pStyle w:val="Heading1"/>
      </w:pPr>
      <w:r>
        <w:t xml:space="preserve">Folie 1: Ueberblick Kanzleihandbuch v4.0</w:t>
      </w:r>
    </w:p>
    <w:p>
      <w:r>
        <w:t xml:space="preserve">Neuerungen gegenueber v3.0: (1) BeckRS-Sperre eingefuehrt. (2) Literatur-Modellwissen-Sperre. (3) URL-Pflicht verbindlich. (4) Gruenenberg-Grenzjahr klar definiert. (5) Pruefvermerk-Standard vereinheitlicht.</w:t>
      </w:r>
    </w:p>
    <w:p/>
    <w:p>
      <w:pPr>
        <w:pStyle w:val="Heading1"/>
      </w:pPr>
      <w:r>
        <w:t xml:space="preserve">Folie 2: Die 6 Pruefvermerk-Typen</w:t>
      </w:r>
    </w:p>
    <w:p>
      <w:r>
        <w:t xml:space="preserve">PV-BR — BeckRS-Sperre: Kein Lizenzzugang dokumentiert.</w:t>
      </w:r>
    </w:p>
    <w:p>
      <w:r>
        <w:t xml:space="preserve">PV-LM — Literatur-Modellwissen-Sperre: Aufsatz nicht verifizierbar.</w:t>
      </w:r>
    </w:p>
    <w:p>
      <w:r>
        <w:t xml:space="preserve">PV-UV — Unvollstaendiges Zitat: Pflichtangabe fehlt.</w:t>
      </w:r>
    </w:p>
    <w:p>
      <w:r>
        <w:t xml:space="preserve">PV-URL — Fehlende URL: Freie Quelle ohne Pflicht-URL.</w:t>
      </w:r>
    </w:p>
    <w:p>
      <w:r>
        <w:t xml:space="preserve">PV-RG — Rangfolge-Fehler: Falsche Reihenfolge bei Mehrfach-Fundstellen.</w:t>
      </w:r>
    </w:p>
    <w:p>
      <w:r>
        <w:t xml:space="preserve">PV-PG — Palandt/Gruenenberg-Verwechslung: Falscher Kurztitel fuer das Erscheinungsjahr.</w:t>
      </w:r>
    </w:p>
    <w:p/>
    <w:p>
      <w:pPr>
        <w:pStyle w:val="Heading1"/>
      </w:pPr>
      <w:r>
        <w:t xml:space="preserve">Folie 3: BeckRS-Sperre — Erkennen und Loesen</w:t>
      </w:r>
    </w:p>
    <w:p>
      <w:r>
        <w:t xml:space="preserve">Schritt 1: Plugin gibt PV-BR aus. Schritt 2: Amtliche Alternative suchen (bundesgerichtshof.de). Schritt 3: Freie Alternative suchen (dejure.org). Schritt 4: Korrigiertes Zitat formulieren. Schritt 5: Pruefvermerk als aufgeloest markieren.</w:t>
      </w:r>
    </w:p>
    <w:p/>
    <w:p>
      <w:pPr>
        <w:pStyle w:val="Heading1"/>
      </w:pPr>
      <w:r>
        <w:t xml:space="preserve">Folie 4: Palandt/Gruenenberg — Quiz-Tabelle</w:t>
      </w:r>
    </w:p>
    <w:p>
      <w:r>
        <w:t xml:space="preserve">80. Aufl. 2021 → Palandt | 81. Aufl. 2022 → Gruenenberg | 82. Aufl. 2023 → Gruenenberg | 83. Aufl. 2024 → Gruenenberg</w:t>
      </w:r>
    </w:p>
    <w:p/>
    <w:p>
      <w:pPr>
        <w:pStyle w:val="Heading1"/>
      </w:pPr>
      <w:r>
        <w:t xml:space="preserve">Folie 5: URL-Pflicht</w:t>
      </w:r>
    </w:p>
    <w:p>
      <w:r>
        <w:t xml:space="preserve">Ist die Entscheidung frei zugaenglich? → URL Pflicht! Quellen: dejure.org, openjur.de, bundesgerichtshof.de, bundesverfassungsgericht.de, bundesfinanzhof.de. Format: abrufbar unter: [URL] (abgerufen am TT.MM.JJJJ).</w:t>
      </w:r>
    </w:p>
    <w:p/>
    <w:p>
      <w:pPr>
        <w:pStyle w:val="Heading1"/>
      </w:pPr>
      <w:r>
        <w:t xml:space="preserve">Folie 6: Fallbeispiele</w:t>
      </w:r>
    </w:p>
    <w:p>
      <w:r>
        <w:rPr>
          <w:b/>
          <w:bCs/>
        </w:rPr>
        <w:t xml:space="preserve">Fallbeispiel 1 — BeckRS:</w:t>
      </w:r>
      <w:r>
        <w:t xml:space="preserve"> BGH IX ZR 234/21, BeckRS 2022, 12345 → PV-BR → Alternative: BGHZ 233, 177.</w:t>
      </w:r>
    </w:p>
    <w:p>
      <w:r>
        <w:rPr>
          <w:b/>
          <w:bCs/>
        </w:rPr>
        <w:t xml:space="preserve">Fallbeispiel 2 — Gruenenberg:</w:t>
      </w:r>
      <w:r>
        <w:t xml:space="preserve"> Palandt 82. Aufl. 2023 → PV-PG → Korrektur: Gruenenberg 82. Aufl. 2023.</w:t>
      </w:r>
    </w:p>
    <w:p>
      <w:r>
        <w:rPr>
          <w:b/>
          <w:bCs/>
        </w:rPr>
        <w:t xml:space="preserve">Fallbeispiel 3 — URL:</w:t>
      </w:r>
      <w:r>
        <w:t xml:space="preserve"> BGH NJW 2014, 2568 ohne URL → PV-URL → Erganzen: https://dejure.org/2014,17316.</w:t>
      </w:r>
    </w:p>
    <w:p/>
    <w:p>
      <w:r>
        <w:rPr>
          <w:i/>
          <w:iCs/>
          <w:color w:val="7A7974"/>
        </w:rPr>
        <w:t xml:space="preserve">Kanzlei Roosendaal Birkenhainer Partners mbB | Schulung Zitierweise v4.0 | 18.11.2025</w:t>
      </w:r>
    </w:p>
    <w:p>
      <w:r>
        <w:rPr>
          <w:i/>
          <w:iCs/>
          <w:color w:val="7A7974"/>
        </w:rPr>
        <w:t xml:space="preserve">Quellen: bundesgerichtshof.de, bundesverfassungsgericht.de, dejure.org, openjur.de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Schulungsfolien Zitierweise v4.0 — Roosendaal Birkenhainer Partners mbB</dc:title>
  <dc:creator>Perplexity Computer</dc:creator>
  <cp:lastModifiedBy>Un-named</cp:lastModifiedBy>
  <cp:revision>1</cp:revision>
  <dcterms:created xsi:type="dcterms:W3CDTF">2026-05-30T21:23:51.307Z</dcterms:created>
  <dcterms:modified xsi:type="dcterms:W3CDTF">2026-05-30T21:23:51.307Z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