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OBERLANDESGERICHT MÜNCHEN</w:t>
      </w:r>
    </w:p>
    <w:p>
      <w:pPr>
        <w:jc w:val="center"/>
      </w:pPr>
      <w:r>
        <w:rPr>
          <w:rFonts w:ascii="Arial" w:cs="Arial" w:eastAsia="Arial" w:hAnsi="Arial"/>
          <w:sz w:val="22"/>
          <w:szCs w:val="22"/>
        </w:rPr>
        <w:t xml:space="preserve">13. Zivilsenat | Az.: 13 U 417/27</w:t>
      </w:r>
    </w:p>
    <w:p>
      <w:r>
        <w:rPr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BERUFUNGSBEGRÜNDUNG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In dem Berufungsverfahren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Margarete Pohlmann (Klägerin und Berufungsführerin)</w:t>
      </w:r>
    </w:p>
    <w:p>
      <w:r>
        <w:rPr>
          <w:rFonts w:ascii="Arial" w:cs="Arial" w:eastAsia="Arial" w:hAnsi="Arial"/>
          <w:i/>
          <w:iCs/>
          <w:sz w:val="22"/>
          <w:szCs w:val="22"/>
        </w:rPr>
        <w:t xml:space="preserve">— Klägerin und Berufungsführerin —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gegen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Saalbau Rosenheim GmbH</w:t>
      </w:r>
    </w:p>
    <w:p>
      <w:r>
        <w:rPr>
          <w:rFonts w:ascii="Arial" w:cs="Arial" w:eastAsia="Arial" w:hAnsi="Arial"/>
          <w:i/>
          <w:iCs/>
          <w:sz w:val="22"/>
          <w:szCs w:val="22"/>
        </w:rPr>
        <w:t xml:space="preserve">— Beklagte und Berufungsgegnerin —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i/>
          <w:iCs/>
          <w:sz w:val="20"/>
          <w:szCs w:val="20"/>
        </w:rPr>
        <w:t xml:space="preserve">Vorinstanz: LG Traunstein 1 O 2188/25, Urteil vom 22.07.2027 | Eingereicht: 03.10.2027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I. Berufungsanträge</w:t>
      </w:r>
    </w:p>
    <w:p>
      <w:r>
        <w:rPr>
          <w:rFonts w:ascii="Arial" w:cs="Arial" w:eastAsia="Arial" w:hAnsi="Arial"/>
          <w:sz w:val="22"/>
          <w:szCs w:val="22"/>
        </w:rPr>
        <w:t xml:space="preserve">1. Das Urteil des Landgerichts Traunstein vom 22.07.2027, Az. 1 O 2188/25, wird aufgehoben, soweit die Klage abgewiesen wurde.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2. Die Beklagte wird verurteilt, an die Klägerin weitere 172.100 EUR (Differenz 684.400 EUR minus 512.300 EUR) zu zahlen.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3. Die Kosten des Berufungsverfahrens trägt die Beklagte.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II. Berufungsrügen</w:t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A. Hotelkosten — teilweise zu Unrecht abgewiesen (§ 286 ZPO)</w:t>
      </w:r>
    </w:p>
    <w:p>
      <w:r>
        <w:rPr>
          <w:rFonts w:ascii="Arial" w:cs="Arial" w:eastAsia="Arial" w:hAnsi="Arial"/>
          <w:sz w:val="22"/>
          <w:szCs w:val="22"/>
        </w:rPr>
        <w:t xml:space="preserve">Das Landgericht hat die belegten Hotelkosten für die Wochen 6–8 der Auslagerung (18.450 EUR) ohne hinreichende Begründung nicht berücksichtigt, obwohl die Klägerin Hotelrechnungen für alle 8 Wochen vorgelegt hat (Anlage K 27). Die Beweiswürdigung des Landgerichts verstößt gegen § 286 ZPO, da das Gericht einen erheblichen Beweisantritt übergangen hat. Es ist nicht erkennbar, warum das Gericht Wochen 1–5 anerkannt, aber Wochen 6–8 ohne Begründung abgewiesen hat.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B. Gutachterkosten Schadensfeststellung (§ 280 BGB)</w:t>
      </w:r>
    </w:p>
    <w:p>
      <w:r>
        <w:rPr>
          <w:rFonts w:ascii="Arial" w:cs="Arial" w:eastAsia="Arial" w:hAnsi="Arial"/>
          <w:sz w:val="22"/>
          <w:szCs w:val="22"/>
        </w:rPr>
        <w:t xml:space="preserve">Das Landgericht hat Gutachterkosten (8.400 EUR) als Rechtsverfolgungskosten qualifiziert. Dies widerspricht der gefestigten BGH-Rechtsprechung: Kosten eines zur Schadensfeststellung notwendigen Privatgutachtens sind adäquat kausaler Schaden und nach § 280 Abs. 1 BGB zu ersetzen (BGH VI ZR 79/11, NJW 2011, 2509). Der Schaden entstand, weil die Klägerin zur Aufklärung des Feuchtigkeitseintritts ein Gutachten benötigte — nicht zur Rechtsverfolgung.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C. Bodenaustausch-Kürzung auf 95.000 EUR (§ 286 ZPO)</w:t>
      </w:r>
    </w:p>
    <w:p>
      <w:r>
        <w:rPr>
          <w:rFonts w:ascii="Arial" w:cs="Arial" w:eastAsia="Arial" w:hAnsi="Arial"/>
          <w:sz w:val="22"/>
          <w:szCs w:val="22"/>
        </w:rPr>
        <w:t xml:space="preserve">Das Landgericht hat den Bodenaustausch-Anspruch auf 95.000 EUR (statt 112.000 EUR) gekürzt, weil 17.000 EUR nicht durch Einzelrechnungen belegt seien. Die Pauschalrechnung des Bodenaustauschunternehmens (Anlage K 14) lag dem Gericht vor und deckt diese Positionen ab. Sachverständiger Zeyer hat die Pauschalrechnung inhaltlich bestätigt. Die Kürzung des Landgerichts entbehrt einer tragfähigen Grundlage.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III. Beweisangebote</w:t>
      </w:r>
    </w:p>
    <w:p>
      <w:r>
        <w:rPr>
          <w:rFonts w:ascii="Arial" w:cs="Arial" w:eastAsia="Arial" w:hAnsi="Arial"/>
          <w:sz w:val="22"/>
          <w:szCs w:val="22"/>
        </w:rPr>
        <w:t xml:space="preserve">Anlage K 14: Pauschalrechnung Bodenaustauschunternehmen (bereits in erster Instanz vorgelegt)</w:t>
      </w:r>
    </w:p>
    <w:p>
      <w:r>
        <w:rPr>
          <w:rFonts w:ascii="Arial" w:cs="Arial" w:eastAsia="Arial" w:hAnsi="Arial"/>
          <w:sz w:val="22"/>
          <w:szCs w:val="22"/>
        </w:rPr>
        <w:t xml:space="preserve">Anlage BB 1: Hotelrechnungen Wochen 6–8 (erneut vorgelegt)</w:t>
      </w:r>
    </w:p>
    <w:p>
      <w:r>
        <w:rPr>
          <w:rFonts w:ascii="Arial" w:cs="Arial" w:eastAsia="Arial" w:hAnsi="Arial"/>
          <w:sz w:val="22"/>
          <w:szCs w:val="22"/>
        </w:rPr>
        <w:t xml:space="preserve">Anlage BB 2: BGH VI ZR 79/11 (Privatgutachten als Schadensersatz)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IV. Rechtsquellen</w:t>
      </w:r>
    </w:p>
    <w:p>
      <w:r>
        <w:rPr>
          <w:rFonts w:ascii="Arial" w:cs="Arial" w:eastAsia="Arial" w:hAnsi="Arial"/>
          <w:i/>
          <w:iCs/>
          <w:sz w:val="20"/>
          <w:szCs w:val="20"/>
        </w:rPr>
        <w:t xml:space="preserve">§ 520 ZPO (Berufungsbegründung): dejure.org/gesetze/ZPO/520.html | § 286 ZPO: dejure.org/gesetze/ZPO/286.html | BGH VI ZR 79/11: bundesgerichtshof.de</w:t>
      </w:r>
    </w:p>
    <w:p>
      <w:r>
        <w:rPr>
          <w:sz w:val="22"/>
          <w:szCs w:val="22"/>
        </w:rPr>
        <w:t xml:space="preserve"/>
      </w:r>
    </w:p>
    <w:p>
      <w:pPr>
        <w:jc w:val="right"/>
      </w:pPr>
      <w:r>
        <w:rPr>
          <w:rFonts w:ascii="Arial" w:cs="Arial" w:eastAsia="Arial" w:hAnsi="Arial"/>
          <w:sz w:val="22"/>
          <w:szCs w:val="22"/>
        </w:rPr>
        <w:t xml:space="preserve">Rosenheim, 03.10.2027</w:t>
      </w:r>
    </w:p>
    <w:p>
      <w:r>
        <w:rPr>
          <w:sz w:val="22"/>
          <w:szCs w:val="22"/>
        </w:rPr>
        <w:t xml:space="preserve"/>
      </w:r>
    </w:p>
    <w:p>
      <w:pPr>
        <w:jc w:val="righ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Dr. Mark Roosendaal</w:t>
      </w:r>
    </w:p>
    <w:p>
      <w:pPr>
        <w:jc w:val="right"/>
      </w:pPr>
      <w:r>
        <w:rPr>
          <w:rFonts w:ascii="Arial" w:cs="Arial" w:eastAsia="Arial" w:hAnsi="Arial"/>
          <w:sz w:val="22"/>
          <w:szCs w:val="22"/>
        </w:rPr>
        <w:t xml:space="preserve">Rechtsanwalt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2026-05-30T20:16:43.270Z</dcterms:created>
  <dcterms:modified xsi:type="dcterms:W3CDTF">2026-05-30T20:16:43.270Z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