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LANDGERICHT TRAUNSTEIN</w:t>
      </w:r>
    </w:p>
    <w:p>
      <w:pPr>
        <w:jc w:val="center"/>
      </w:pPr>
      <w:r>
        <w:rPr>
          <w:rFonts w:ascii="Arial" w:cs="Arial" w:eastAsia="Arial" w:hAnsi="Arial"/>
          <w:sz w:val="22"/>
          <w:szCs w:val="22"/>
        </w:rPr>
        <w:t xml:space="preserve">Bürgerstraße 22, 83278 Traunstein</w:t>
      </w:r>
    </w:p>
    <w:p>
      <w:r>
        <w:rPr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KLAGESCHRIFT</w:t>
      </w:r>
    </w:p>
    <w:p>
      <w:pPr>
        <w:jc w:val="center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Az.: 1 O 2188/25 (nach Abgabe aus Mahnverfahren AG Coburg Az. 31 MH 1224/26)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In dem Rechtsstreit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Margarete Pohlmann, geb. Hofer, geb. 17.03.1961,</w:t>
      </w:r>
    </w:p>
    <w:p>
      <w:r>
        <w:rPr>
          <w:rFonts w:ascii="Arial" w:cs="Arial" w:eastAsia="Arial" w:hAnsi="Arial"/>
          <w:sz w:val="22"/>
          <w:szCs w:val="22"/>
        </w:rPr>
        <w:t xml:space="preserve">Riegerstraße 17, 83022 Rosenheim</w:t>
      </w:r>
    </w:p>
    <w:p>
      <w:r>
        <w:rPr>
          <w:rFonts w:ascii="Arial" w:cs="Arial" w:eastAsia="Arial" w:hAnsi="Arial"/>
          <w:i/>
          <w:iCs/>
          <w:sz w:val="22"/>
          <w:szCs w:val="22"/>
        </w:rPr>
        <w:t xml:space="preserve">— Klägerin —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Prozessbevollmächtigter: RA Dr. Mark Roosendaal, Roosendaal Rechtsanwälte, Ludwigstraße 12, 83022 Rosenheim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gegen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Saalbau Rosenheim GmbH,</w:t>
      </w:r>
    </w:p>
    <w:p>
      <w:r>
        <w:rPr>
          <w:rFonts w:ascii="Arial" w:cs="Arial" w:eastAsia="Arial" w:hAnsi="Arial"/>
          <w:sz w:val="22"/>
          <w:szCs w:val="22"/>
        </w:rPr>
        <w:t xml:space="preserve">vertreten durch Geschäftsführer Kurt Saalbau-Eichenmüller,</w:t>
      </w:r>
    </w:p>
    <w:p>
      <w:r>
        <w:rPr>
          <w:rFonts w:ascii="Arial" w:cs="Arial" w:eastAsia="Arial" w:hAnsi="Arial"/>
          <w:sz w:val="22"/>
          <w:szCs w:val="22"/>
        </w:rPr>
        <w:t xml:space="preserve">Hammerstraße 4, 83022 Rosenheim</w:t>
      </w:r>
    </w:p>
    <w:p>
      <w:r>
        <w:rPr>
          <w:rFonts w:ascii="Arial" w:cs="Arial" w:eastAsia="Arial" w:hAnsi="Arial"/>
          <w:i/>
          <w:iCs/>
          <w:sz w:val="22"/>
          <w:szCs w:val="22"/>
        </w:rPr>
        <w:t xml:space="preserve">— Beklagte —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Prozessbevollmächtigter: RA Bernhard Scholl-Mayer, Münchner Straße 88, 83022 Rosenheim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Streitwert: 684.400 EUR | Eingereicht: 01.03.2026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I. Klageanträge</w:t>
      </w:r>
    </w:p>
    <w:p>
      <w:r>
        <w:rPr>
          <w:rFonts w:ascii="Arial" w:cs="Arial" w:eastAsia="Arial" w:hAnsi="Arial"/>
          <w:sz w:val="22"/>
          <w:szCs w:val="22"/>
        </w:rPr>
        <w:t xml:space="preserve">1. Die Beklagte wird verurteilt, an die Klägerin 684.400 EUR nebst Zinsen in Höhe von 5 Prozentpunkten über dem jeweiligen Basiszinssatz aus 447.400 EUR seit dem 25.06.2024 und aus weiteren 237.000 EUR seit dem 01.02.2025 zu zahlen.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2. Die Beklagte trägt die Kosten des Rechtsstreits.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sz w:val="22"/>
          <w:szCs w:val="22"/>
        </w:rPr>
        <w:t xml:space="preserve">3. Das Urteil ist vorläufig vollstreckbar.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II. Sachverhalt</w:t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A. Werkvertragsschluss und Gegenstand</w:t>
      </w:r>
    </w:p>
    <w:p>
      <w:r>
        <w:rPr>
          <w:rFonts w:ascii="Arial" w:cs="Arial" w:eastAsia="Arial" w:hAnsi="Arial"/>
          <w:sz w:val="22"/>
          <w:szCs w:val="22"/>
        </w:rPr>
        <w:t xml:space="preserve">Die Klägerin ist Witwe (Dieter Pohlmann, verstorben April 2021) und alleinige Eigentümerin des Grundstücks Riegerstraße 17, 83022 Rosenheim (Flurstück 1742/4, Gemarkung Rosenheim-Mitte). Sie schloss mit der Beklagten am 12.03.2022 einen Werkvertrag (Bauwerkvertrag) über die schlüsselfertige Errichtung eines Einfamilienhauses mit Garage, Keller und Außenanlagen zum Festpreis von 645.000 EUR (netto) zzgl. MwSt. (Anlage K 1). Die vereinbarte Fertigstellungspflicht war der 30.09.2023.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B. Bodenkontamination und Pflichtverletzung (§ 280 BGB)</w:t>
      </w:r>
    </w:p>
    <w:p>
      <w:r>
        <w:rPr>
          <w:rFonts w:ascii="Arial" w:cs="Arial" w:eastAsia="Arial" w:hAnsi="Arial"/>
          <w:sz w:val="22"/>
          <w:szCs w:val="22"/>
        </w:rPr>
        <w:t xml:space="preserve">Im Zuge der Erdarbeiten (April 2022) stellte das baubegleitende Ingenieurbüro Weidinger erhebliche PAK/MKW-Kontaminationen im Baugrund fest, die das zulässige Maß der BBodSchV überschreiten. Die Beklagte war ab dem 22.04.2022 in Kenntnis dieses Befundes (Anlage K 2: Schreiben Ing. Büro Weidinger an Beklagte vom 22.04.2022), hat die Klägerin jedoch erst am 01.06.2022 — also 40 Tage später — informiert. Die Klausel § 9 des Werkvertrages, die Mehrkosten für unvorhergesehene Bodenverhältnisse auf die Klägerin abwälzt, ist nach § 307 Abs. 1 BGB unwirksam (BGH VII ZR 282/14, NJW 2015, 1952).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C. Baumängel (§§ 633, 634 BGB)</w:t>
      </w:r>
    </w:p>
    <w:p>
      <w:r>
        <w:rPr>
          <w:rFonts w:ascii="Arial" w:cs="Arial" w:eastAsia="Arial" w:hAnsi="Arial"/>
          <w:sz w:val="22"/>
          <w:szCs w:val="22"/>
        </w:rPr>
        <w:t xml:space="preserve">Das Haus wurde am 20.03.2024 — mit über sechsmonatiger Verzögerung — unter Vorbehalt abgenommen. Folgende Mängel sind vorhanden und nicht beseitigt:</w:t>
      </w:r>
    </w:p>
    <w:p>
      <w:pPr>
        <w:pStyle w:val="ListParagraph"/>
        <w:numPr>
          <w:ilvl w:val="0"/>
          <w:numId w:val="1"/>
        </w:numPr>
      </w:pPr>
      <w:r>
        <w:rPr>
          <w:rFonts w:ascii="Arial" w:cs="Arial" w:eastAsia="Arial" w:hAnsi="Arial"/>
          <w:sz w:val="22"/>
          <w:szCs w:val="22"/>
        </w:rPr>
        <w:t xml:space="preserve">Kellerrisse: w/z-Wert 0,66 statt 0,55; Beton C20/25 statt C25/30; zwei Querrisse 0,8–1,2 mm Breite (Anlage K 3)</w:t>
      </w:r>
    </w:p>
    <w:p>
      <w:pPr>
        <w:pStyle w:val="ListParagraph"/>
        <w:numPr>
          <w:ilvl w:val="0"/>
          <w:numId w:val="1"/>
        </w:numPr>
      </w:pPr>
      <w:r>
        <w:rPr>
          <w:rFonts w:ascii="Arial" w:cs="Arial" w:eastAsia="Arial" w:hAnsi="Arial"/>
          <w:sz w:val="22"/>
          <w:szCs w:val="22"/>
        </w:rPr>
        <w:t xml:space="preserve">Schallschutzdefizit: Rw 31 dB statt DIN 4109-1 geforderter 40 dB — Trennwand Garage/Wohnhaus (Anlage K 4)</w:t>
      </w:r>
    </w:p>
    <w:p>
      <w:pPr>
        <w:pStyle w:val="ListParagraph"/>
        <w:numPr>
          <w:ilvl w:val="0"/>
          <w:numId w:val="1"/>
        </w:numPr>
      </w:pPr>
      <w:r>
        <w:rPr>
          <w:rFonts w:ascii="Arial" w:cs="Arial" w:eastAsia="Arial" w:hAnsi="Arial"/>
          <w:sz w:val="22"/>
          <w:szCs w:val="22"/>
        </w:rPr>
        <w:t xml:space="preserve">Undichte Dachentwässerung: Wassereinbruch Dezember 2023; Bitumenbahn-Überlappung 10 cm statt 15 cm (DIN 18531-1) (Anlage K 5)</w:t>
      </w:r>
    </w:p>
    <w:p>
      <w:pPr>
        <w:pStyle w:val="ListParagraph"/>
        <w:numPr>
          <w:ilvl w:val="0"/>
          <w:numId w:val="1"/>
        </w:numPr>
      </w:pPr>
      <w:r>
        <w:rPr>
          <w:rFonts w:ascii="Arial" w:cs="Arial" w:eastAsia="Arial" w:hAnsi="Arial"/>
          <w:sz w:val="22"/>
          <w:szCs w:val="22"/>
        </w:rPr>
        <w:t xml:space="preserve">Wärmedämmung Kellerdecke: U-Wert 0,46 statt GEG 2020 max. 0,30 W/m²K (Anlage K 6)</w:t>
      </w:r>
    </w:p>
    <w:p>
      <w:r>
        <w:rPr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sz w:val="22"/>
          <w:szCs w:val="22"/>
        </w:rPr>
        <w:t xml:space="preserve">D. Folgemängelschäden (§ 634 Nr. 4 i.V.m. § 280 BGB)</w:t>
      </w:r>
    </w:p>
    <w:p>
      <w:r>
        <w:rPr>
          <w:rFonts w:ascii="Arial" w:cs="Arial" w:eastAsia="Arial" w:hAnsi="Arial"/>
          <w:sz w:val="22"/>
          <w:szCs w:val="22"/>
        </w:rPr>
        <w:t xml:space="preserve">Infolge des Dachentwässerungsmangels kam es zwischen Oktober 2024 und Februar 2025 zu Schimmelbefall und Parkett-Totalschaden im EG (42 qm). Sachverständiger Dipl.-Ing. Zeyer beziffert den Folgemängelschaden auf 237.000 EUR (Gutachten vom 12.01.2027, Anlage K 22).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III. Streitwertübersicht</w:t>
      </w:r>
    </w:p>
    <w:p>
      <w:r>
        <w:rPr>
          <w:rFonts w:ascii="Arial" w:cs="Arial" w:eastAsia="Arial" w:hAnsi="Arial"/>
          <w:sz w:val="22"/>
          <w:szCs w:val="22"/>
        </w:rPr>
        <w:t xml:space="preserve">Werklohnabzug (Minderung): 210.000 EUR | Bodenaustausch: 112.000 EUR | Mängelbeseitigungskosten: 87.000 EUR | Verzögerungsschaden: 38.400 EUR | Folgemängel: 237.000 EUR | Gesamt: 684.400 EUR</w:t>
      </w:r>
    </w:p>
    <w:p>
      <w:r>
        <w:rPr>
          <w:sz w:val="22"/>
          <w:szCs w:val="22"/>
        </w:rP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IV. Rechtsquellen</w:t>
      </w:r>
    </w:p>
    <w:p>
      <w:r>
        <w:rPr>
          <w:rFonts w:ascii="Arial" w:cs="Arial" w:eastAsia="Arial" w:hAnsi="Arial"/>
          <w:i/>
          <w:iCs/>
          <w:sz w:val="20"/>
          <w:szCs w:val="20"/>
        </w:rPr>
        <w:t xml:space="preserve">ZPO §§ 253, 264 (dejure.org/gesetze/ZPO); BGB §§ 631, 633, 634, 636, 638 (dejure.org/gesetze/BGB); BGH VII ZR 282/14, NJW 2015, 1952 (bundesgerichtshof.de)</w:t>
      </w:r>
    </w:p>
    <w:p>
      <w:r>
        <w:rPr>
          <w:sz w:val="22"/>
          <w:szCs w:val="22"/>
        </w:rPr>
        <w:t xml:space="preserve"/>
      </w:r>
    </w:p>
    <w:p>
      <w:pPr>
        <w:jc w:val="right"/>
      </w:pPr>
      <w:r>
        <w:rPr>
          <w:rFonts w:ascii="Arial" w:cs="Arial" w:eastAsia="Arial" w:hAnsi="Arial"/>
          <w:sz w:val="22"/>
          <w:szCs w:val="22"/>
        </w:rPr>
        <w:t xml:space="preserve">Rosenheim, 01.03.2026</w:t>
      </w:r>
    </w:p>
    <w:p>
      <w:r>
        <w:rPr>
          <w:sz w:val="22"/>
          <w:szCs w:val="22"/>
        </w:rPr>
        <w:t xml:space="preserve"/>
      </w:r>
    </w:p>
    <w:p>
      <w:pPr>
        <w:jc w:val="righ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Dr. Mark Roosendaal</w:t>
      </w:r>
    </w:p>
    <w:p>
      <w:pPr>
        <w:jc w:val="right"/>
      </w:pPr>
      <w:r>
        <w:rPr>
          <w:rFonts w:ascii="Arial" w:cs="Arial" w:eastAsia="Arial" w:hAnsi="Arial"/>
          <w:sz w:val="22"/>
          <w:szCs w:val="22"/>
        </w:rPr>
        <w:t xml:space="preserve">Rechtsanwalt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2026-05-30T20:16:02.430Z</dcterms:created>
  <dcterms:modified xsi:type="dcterms:W3CDTF">2026-05-30T20:16:02.431Z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